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Cs/>
          <w:kern w:val="2"/>
          <w:sz w:val="32"/>
          <w:szCs w:val="32"/>
          <w:shd w:fill="auto" w:val="clear"/>
        </w:rPr>
        <w:t>Кузбасский объединенный учебно-методический центр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по гражданской обороне, чрезвычайным ситуациям,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пожарной безопасности</w:t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b/>
          <w:bCs/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/>
          <w:b/>
          <w:bCs/>
          <w:kern w:val="2"/>
          <w:sz w:val="32"/>
          <w:szCs w:val="32"/>
          <w:highlight w:val="none"/>
          <w:u w:val="single"/>
          <w:shd w:fill="auto" w:val="clear"/>
        </w:rPr>
      </w:pPr>
      <w:r>
        <w:rPr>
          <w:rFonts w:ascii="Cambria" w:hAnsi="Cambria"/>
          <w:b/>
          <w:bCs/>
          <w:kern w:val="2"/>
          <w:sz w:val="32"/>
          <w:szCs w:val="32"/>
          <w:u w:val="single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 xml:space="preserve">ОСНОВНЫЕ ПРИНЦИПЫ ОРГАНИЗАЦИИ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>И СПОСОБЫ ЗАЩИТЫ НАСЕЛЕНИЯ, МАТЕРИАЛЬНЫХ И КУЛЬТУРНЫХ ЦЕННОСТЕЙ ОТ ОПАСНОСТЕЙ, ВОЗНИКАЮЩИХ ПРИ ЧС,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 xml:space="preserve"> </w:t>
      </w:r>
      <w:r>
        <w:rPr>
          <w:b/>
          <w:sz w:val="36"/>
          <w:szCs w:val="36"/>
          <w:shd w:fill="auto" w:val="clear"/>
        </w:rPr>
        <w:t xml:space="preserve">А ТАКЖЕ ПРИ ВОЕННЫХ КОНФЛИКТАХ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>ИЛИ ВСЛЕДСТВИЕ ЭТИХ КОНФЛИКТОВ</w:t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2"/>
          <w:szCs w:val="32"/>
          <w:shd w:fill="auto" w:val="clear"/>
        </w:rPr>
        <w:t>Учебное пособие</w:t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ind w:left="6372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г. Кемерово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2025</w:t>
      </w:r>
    </w:p>
    <w:p>
      <w:pPr>
        <w:pStyle w:val="Normal"/>
        <w:widowControl w:val="false"/>
        <w:shd w:val="clear" w:color="auto" w:fill="FFFFFF"/>
        <w:spacing w:lineRule="exact" w:line="418"/>
        <w:ind w:firstLine="720" w:left="14"/>
        <w:rPr>
          <w:color w:val="000000"/>
          <w:spacing w:val="-1"/>
          <w:sz w:val="32"/>
          <w:szCs w:val="32"/>
          <w:highlight w:val="none"/>
          <w:shd w:fill="auto" w:val="clear"/>
        </w:rPr>
      </w:pPr>
      <w:r>
        <w:rPr>
          <w:color w:val="000000"/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418"/>
        <w:rPr>
          <w:color w:val="000000"/>
          <w:spacing w:val="-1"/>
          <w:sz w:val="32"/>
          <w:szCs w:val="32"/>
          <w:highlight w:val="none"/>
          <w:shd w:fill="auto" w:val="clear"/>
        </w:rPr>
      </w:pPr>
      <w:r>
        <w:rPr>
          <w:color w:val="000000"/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418"/>
        <w:rPr>
          <w:color w:val="000000"/>
          <w:spacing w:val="-1"/>
          <w:sz w:val="32"/>
          <w:szCs w:val="32"/>
          <w:highlight w:val="none"/>
          <w:shd w:fill="auto" w:val="clear"/>
        </w:rPr>
      </w:pPr>
      <w:r>
        <w:rPr>
          <w:color w:val="000000"/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418"/>
        <w:rPr>
          <w:color w:val="000000"/>
          <w:spacing w:val="-1"/>
          <w:sz w:val="32"/>
          <w:szCs w:val="32"/>
          <w:highlight w:val="none"/>
          <w:shd w:fill="auto" w:val="clear"/>
        </w:rPr>
      </w:pPr>
      <w:r>
        <w:rPr>
          <w:color w:val="000000"/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418"/>
        <w:rPr>
          <w:color w:val="000000"/>
          <w:spacing w:val="-1"/>
          <w:sz w:val="32"/>
          <w:szCs w:val="32"/>
          <w:highlight w:val="none"/>
          <w:shd w:fill="auto" w:val="clear"/>
        </w:rPr>
      </w:pPr>
      <w:r>
        <w:rPr>
          <w:color w:val="000000"/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b/>
          <w:bCs/>
          <w:color w:val="000000"/>
          <w:spacing w:val="-7"/>
          <w:sz w:val="32"/>
          <w:szCs w:val="32"/>
          <w:shd w:fill="auto" w:val="clear"/>
        </w:rPr>
        <w:t xml:space="preserve">Учебное пособие: </w:t>
      </w:r>
      <w:r>
        <w:rPr>
          <w:b/>
          <w:sz w:val="32"/>
          <w:szCs w:val="32"/>
          <w:shd w:fill="auto" w:val="clear"/>
          <w:lang w:bidi="ru-RU"/>
        </w:rPr>
        <w:t>Основные принципы организации и способы защиты населения, материальных и культурных ценностей от опасностей, возникающих при ЧС, а также при военных конфликтах или вследствие этих конфликтов</w:t>
      </w:r>
      <w:r>
        <w:rPr>
          <w:color w:val="000000"/>
          <w:spacing w:val="6"/>
          <w:sz w:val="32"/>
          <w:szCs w:val="32"/>
          <w:shd w:fill="auto" w:val="clear"/>
        </w:rPr>
        <w:t xml:space="preserve">/ КОУМЦ по ГО и ЧС; Сост.: методист филиала КОУМЦ по ГО и ЧС в г. Новокузнецке </w:t>
      </w:r>
      <w:r>
        <w:rPr>
          <w:bCs/>
          <w:color w:val="000000"/>
          <w:spacing w:val="4"/>
          <w:sz w:val="32"/>
          <w:szCs w:val="32"/>
          <w:shd w:fill="auto" w:val="clear"/>
        </w:rPr>
        <w:t xml:space="preserve">А.С.Кантор, </w:t>
      </w:r>
      <w:r>
        <w:rPr>
          <w:color w:val="000000"/>
          <w:spacing w:val="1"/>
          <w:sz w:val="32"/>
          <w:szCs w:val="32"/>
          <w:shd w:fill="auto" w:val="clear"/>
        </w:rPr>
        <w:t xml:space="preserve">- Кемерово, 2025. - </w:t>
      </w:r>
      <w:r>
        <w:rPr>
          <w:spacing w:val="1"/>
          <w:sz w:val="32"/>
          <w:szCs w:val="32"/>
          <w:shd w:fill="auto" w:val="clear"/>
        </w:rPr>
        <w:t>35 с.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color w:val="000000"/>
          <w:spacing w:val="-9"/>
          <w:sz w:val="32"/>
          <w:szCs w:val="32"/>
          <w:shd w:fill="auto" w:val="clear"/>
        </w:rPr>
        <w:t>Для слушателей при самостоятельном изучении тем элективного модуля Дополнительных профессиональных программ повышения квалификации.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32"/>
          <w:szCs w:val="32"/>
          <w:shd w:fill="auto" w:val="clear"/>
        </w:rPr>
        <w:t>Содержит учебный материал о способах защиты населения, материальных и культурных ценностей от опасностей, возникающих при ведении военных конфликтов или вследствие этих конфликтов, а также при ЧС.</w:t>
      </w:r>
      <w:r>
        <w:rPr>
          <w:color w:val="000000"/>
          <w:spacing w:val="-6"/>
          <w:sz w:val="32"/>
          <w:szCs w:val="32"/>
          <w:shd w:fill="auto" w:val="clear"/>
        </w:rPr>
        <w:t xml:space="preserve"> </w:t>
      </w:r>
    </w:p>
    <w:p>
      <w:pPr>
        <w:pStyle w:val="Normal"/>
        <w:widowControl w:val="false"/>
        <w:shd w:val="clear" w:color="auto" w:fill="FFFFFF"/>
        <w:spacing w:lineRule="exact" w:line="379" w:before="643" w:after="0"/>
        <w:ind w:firstLine="720"/>
        <w:jc w:val="both"/>
        <w:rPr>
          <w:color w:val="FF0000"/>
          <w:sz w:val="20"/>
          <w:szCs w:val="20"/>
          <w:highlight w:val="none"/>
          <w:shd w:fill="auto" w:val="clear"/>
        </w:rPr>
      </w:pPr>
      <w:r>
        <w:rPr>
          <w:color w:val="FF0000"/>
          <w:sz w:val="20"/>
          <w:szCs w:val="2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379" w:before="643" w:after="0"/>
        <w:ind w:firstLine="720"/>
        <w:jc w:val="both"/>
        <w:rPr>
          <w:color w:val="FF0000"/>
          <w:sz w:val="20"/>
          <w:szCs w:val="20"/>
          <w:highlight w:val="none"/>
          <w:shd w:fill="auto" w:val="clear"/>
        </w:rPr>
      </w:pPr>
      <w:r>
        <w:rPr>
          <w:color w:val="FF0000"/>
          <w:sz w:val="20"/>
          <w:szCs w:val="2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379" w:before="643" w:after="0"/>
        <w:ind w:firstLine="720"/>
        <w:jc w:val="both"/>
        <w:rPr>
          <w:color w:val="FF0000"/>
          <w:sz w:val="20"/>
          <w:szCs w:val="20"/>
          <w:highlight w:val="none"/>
          <w:shd w:fill="auto" w:val="clear"/>
        </w:rPr>
      </w:pPr>
      <w:r>
        <w:rPr>
          <w:color w:val="FF0000"/>
          <w:sz w:val="20"/>
          <w:szCs w:val="2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exact" w:line="379" w:before="643" w:after="0"/>
        <w:ind w:firstLine="720"/>
        <w:jc w:val="both"/>
        <w:rPr>
          <w:color w:val="FF0000"/>
          <w:sz w:val="20"/>
          <w:szCs w:val="20"/>
          <w:highlight w:val="none"/>
          <w:shd w:fill="auto" w:val="clear"/>
        </w:rPr>
      </w:pPr>
      <w:r>
        <w:rPr>
          <w:color w:val="FF0000"/>
          <w:sz w:val="20"/>
          <w:szCs w:val="20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highlight w:val="none"/>
          <w:shd w:fill="auto" w:val="clear"/>
        </w:rPr>
      </w:pPr>
      <w:r>
        <w:rPr>
          <w:color w:val="000000"/>
          <w:spacing w:val="-4"/>
          <w:sz w:val="32"/>
          <w:szCs w:val="32"/>
          <w:shd w:fill="auto" w:val="clear"/>
        </w:rPr>
        <w:t xml:space="preserve">Рецензенты: </w:t>
      </w:r>
    </w:p>
    <w:p>
      <w:pPr>
        <w:pStyle w:val="Normal"/>
        <w:widowControl w:val="false"/>
        <w:shd w:val="clear" w:color="auto" w:fill="FFFFFF"/>
        <w:jc w:val="both"/>
        <w:rPr>
          <w:highlight w:val="none"/>
          <w:shd w:fill="auto" w:val="clear"/>
        </w:rPr>
      </w:pPr>
      <w:r>
        <w:rPr>
          <w:color w:val="000000"/>
          <w:spacing w:val="-4"/>
          <w:sz w:val="32"/>
          <w:szCs w:val="32"/>
          <w:shd w:fill="auto" w:val="clear"/>
        </w:rPr>
        <w:t>Старший методист КОУМЦ по ГО и ЧС Степанова И.В.</w:t>
      </w:r>
    </w:p>
    <w:p>
      <w:pPr>
        <w:pStyle w:val="Normal"/>
        <w:widowControl w:val="false"/>
        <w:shd w:val="clear" w:color="auto" w:fill="FFFFFF"/>
        <w:jc w:val="both"/>
        <w:rPr>
          <w:highlight w:val="none"/>
          <w:shd w:fill="auto" w:val="clear"/>
        </w:rPr>
      </w:pPr>
      <w:r>
        <w:rPr>
          <w:color w:val="000000"/>
          <w:spacing w:val="-4"/>
          <w:sz w:val="32"/>
          <w:szCs w:val="32"/>
          <w:shd w:fill="auto" w:val="clear"/>
        </w:rPr>
        <w:t>Старший методист КОУМЦ по ГО и ЧС Игнатовский А.Ф.</w:t>
      </w:r>
    </w:p>
    <w:p>
      <w:pPr>
        <w:pStyle w:val="Normal"/>
        <w:widowControl w:val="false"/>
        <w:shd w:val="clear" w:color="auto" w:fill="FFFFFF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bCs/>
          <w:spacing w:val="-11"/>
          <w:sz w:val="32"/>
          <w:szCs w:val="32"/>
          <w:highlight w:val="none"/>
          <w:shd w:fill="auto" w:val="clear"/>
        </w:rPr>
      </w:pPr>
      <w:r>
        <w:rPr>
          <w:bCs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bCs/>
          <w:color w:val="FF0000"/>
          <w:spacing w:val="-11"/>
          <w:sz w:val="32"/>
          <w:szCs w:val="32"/>
          <w:highlight w:val="none"/>
          <w:shd w:fill="auto" w:val="clear"/>
        </w:rPr>
      </w:pPr>
      <w:r>
        <w:rPr>
          <w:bCs/>
          <w:color w:val="FF0000"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bCs/>
          <w:color w:val="000000"/>
          <w:spacing w:val="-11"/>
          <w:sz w:val="32"/>
          <w:szCs w:val="32"/>
          <w:highlight w:val="none"/>
          <w:shd w:fill="auto" w:val="clear"/>
        </w:rPr>
      </w:pPr>
      <w:r>
        <w:rPr>
          <w:bCs/>
          <w:color w:val="000000"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jc w:val="right"/>
        <w:rPr>
          <w:color w:val="000000"/>
          <w:spacing w:val="-2"/>
          <w:sz w:val="32"/>
          <w:szCs w:val="32"/>
          <w:highlight w:val="none"/>
          <w:shd w:fill="auto" w:val="clear"/>
        </w:rPr>
      </w:pPr>
      <w:r>
        <w:rPr>
          <w:color w:val="000000"/>
          <w:spacing w:val="-2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jc w:val="right"/>
        <w:rPr>
          <w:highlight w:val="none"/>
          <w:shd w:fill="auto" w:val="clear"/>
        </w:rPr>
      </w:pPr>
      <w:r>
        <w:rPr>
          <w:color w:val="000000"/>
          <w:spacing w:val="-2"/>
          <w:sz w:val="32"/>
          <w:szCs w:val="32"/>
          <w:shd w:fill="auto" w:val="clear"/>
        </w:rPr>
        <w:t>© КОУМЦ по ГО и ЧС, 2025</w:t>
      </w:r>
      <w:r>
        <w:br w:type="page"/>
      </w:r>
    </w:p>
    <w:p>
      <w:pPr>
        <w:pStyle w:val="Normal"/>
        <w:spacing w:before="0" w:after="0"/>
        <w:ind w:firstLine="709"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СОДЕРЖАНИЕ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Style w:val="af6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21"/>
        <w:gridCol w:w="1232"/>
      </w:tblGrid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Введение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I раздел Принципы организации приведения в готовность, ведения ГО и ЗНТЧС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5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1.1 Основные принципы и способы защиты населения и территорий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II раздел Способы защиты, их содержание и организация выполнения: инженерная защита; эвакуация; использование средств индивидуальной защиты; проведение АСДНР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9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2.1 Инженерная Защита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10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2.2 Организация эвакуации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16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2.3 Использование средств индивидуальной защиты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25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2.4 Проведение аварийно-спасательных и других неотложных работ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30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Заключение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34</w:t>
            </w:r>
          </w:p>
        </w:tc>
      </w:tr>
      <w:tr>
        <w:trPr/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Список используемых источников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eastAsia="en-US" w:bidi="ru-RU"/>
              </w:rPr>
              <w:t>35</w:t>
            </w:r>
          </w:p>
        </w:tc>
      </w:tr>
    </w:tbl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1088" w:leader="none"/>
        </w:tabs>
        <w:jc w:val="both"/>
        <w:rPr>
          <w:sz w:val="28"/>
          <w:szCs w:val="28"/>
          <w:highlight w:val="none"/>
          <w:shd w:fill="auto" w:val="clear"/>
          <w:lang w:bidi="ru-RU"/>
        </w:rPr>
      </w:pPr>
      <w:r>
        <w:rPr>
          <w:sz w:val="28"/>
          <w:szCs w:val="28"/>
          <w:shd w:fill="auto" w:val="clear"/>
          <w:lang w:bidi="ru-RU"/>
        </w:rPr>
      </w:r>
      <w:r>
        <w:br w:type="page"/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caps/>
          <w:sz w:val="28"/>
          <w:szCs w:val="28"/>
          <w:shd w:fill="auto" w:val="clear"/>
          <w:lang w:eastAsia="en-US"/>
        </w:rPr>
        <w:t>Введение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Обеспечение безопасности людей в ЧС, обусловленных природными стихийными бедствиями, техногенными авариями и катастрофами, а также применением современного оружия является общегосударственной задачей, обязательной для решения всеми территориальными, ведомственными и 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функциональными органами управления и регулирования, службами и формированиями, а также подсистемами, входящими в единую государственную систему предупреждения и ликвидации чрезвычайных ситуаций (далее - РСЧС).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Безопасность людей в ЧС должна обеспечиваться:</w:t>
      </w:r>
    </w:p>
    <w:p>
      <w:pPr>
        <w:pStyle w:val="Formattext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снижением вероятности возникновения и уменьшением возможных масштабов источников природных, техногенных и военных ЧС;</w:t>
      </w:r>
    </w:p>
    <w:p>
      <w:pPr>
        <w:pStyle w:val="Formattext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локализацией, блокированием, подавлением, сокращением времени существования, масштабов и ослабления действия поражающих факторов и источников ЧС;</w:t>
      </w:r>
    </w:p>
    <w:p>
      <w:pPr>
        <w:pStyle w:val="Formattext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снижением опасности поражения людей в ЧС путем предъявления и  реализации специальных требований к расселению людей, рациональному размещению потенциально опасных и иных производств, транспортных и прочих техногенно опасных и жизненно важных объектов и коммуникаций, созданию объектов с внутренне присущей безопасностью и средствами локализации и самоподавления аварий, а также путем рациональной планировки и застройки городов и других населенных пунктов, строительства специфически устойчивых в конкретных ЧС зданий и сооружений, принятия соответствующих объемно-планировочных и конструктивных решений;</w:t>
      </w:r>
    </w:p>
    <w:p>
      <w:pPr>
        <w:pStyle w:val="Formattext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повышением устойчивости функционирования систем и объектов жизнеобеспечения и профилактикой нарушений их работы, могущих создать угрозу для жизни и здоровья людей;</w:t>
      </w:r>
    </w:p>
    <w:p>
      <w:pPr>
        <w:pStyle w:val="Formattext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организацией и проведением защитных мероприятий в отношении населения и персонала аварийных и прочих объектов при возникновении, развитии и распространении поражающих воздействий источников ЧС, а также осуществлением аварийно-спасательных и других неотложных работ по устранению непосредственной опасности для жизни и здоровья людей, восстановлению жизнеобеспечения населения на территориях, подвергшихся воздействию разрушительных и вредоносных сил природы и техногенных факторов;</w:t>
      </w:r>
    </w:p>
    <w:p>
      <w:pPr>
        <w:pStyle w:val="Formattext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ликвидацией последствий и реабилитацией населения, территорий и окружающей среды, подвергшихся воздействию при ЧС.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данное учебное пособие включены мероприятия защиты населения от опасностей, возникающих при ведении военных конфликтов или вследствие этих конфликтов, а также при ЧС.</w:t>
      </w:r>
    </w:p>
    <w:p>
      <w:pPr>
        <w:pStyle w:val="Normal"/>
        <w:tabs>
          <w:tab w:val="clear" w:pos="708"/>
          <w:tab w:val="left" w:pos="1140" w:leader="none"/>
        </w:tabs>
        <w:ind w:firstLine="709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140" w:leader="none"/>
        </w:tabs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rmal"/>
        <w:spacing w:lineRule="auto" w:line="276" w:before="0" w:after="200"/>
        <w:contextualSpacing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val="en-US" w:eastAsia="en-US"/>
        </w:rPr>
        <w:t>I</w:t>
      </w: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  <w:t xml:space="preserve"> РАЗДЕЛ</w:t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 xml:space="preserve">ПРИНЦИПЫ ОРГАНИЗАЦИИ ПРИВЕДЕНИЯ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 xml:space="preserve">В ГОТОВНОСТЬ, ВЕДЕНИЯ ГО И ЗНТЧС </w:t>
      </w:r>
      <w:r>
        <w:br w:type="page"/>
      </w:r>
    </w:p>
    <w:p>
      <w:pPr>
        <w:pStyle w:val="ListParagraph"/>
        <w:numPr>
          <w:ilvl w:val="1"/>
          <w:numId w:val="8"/>
        </w:numPr>
        <w:spacing w:before="0" w:after="0"/>
        <w:ind w:hanging="709" w:left="709"/>
        <w:contextualSpacing/>
        <w:jc w:val="both"/>
        <w:rPr>
          <w:highlight w:val="none"/>
          <w:shd w:fill="auto" w:val="clear"/>
        </w:rPr>
      </w:pPr>
      <w:r>
        <w:rPr>
          <w:b/>
          <w:sz w:val="28"/>
          <w:szCs w:val="32"/>
          <w:shd w:fill="auto" w:val="clear"/>
        </w:rPr>
        <w:t>ОСНОВНЫЕ ПРИНЦИПЫ И СПОСОБЫ ЗАЩИТЫ НАСЕЛЕНИЯ И ТЕРРИТОРИЙ</w:t>
      </w:r>
    </w:p>
    <w:p>
      <w:pPr>
        <w:pStyle w:val="Normal"/>
        <w:jc w:val="center"/>
        <w:rPr>
          <w:b/>
          <w:sz w:val="32"/>
          <w:szCs w:val="32"/>
          <w:highlight w:val="none"/>
          <w:shd w:fill="auto" w:val="clear"/>
        </w:rPr>
      </w:pPr>
      <w:r>
        <w:rPr>
          <w:b/>
          <w:sz w:val="32"/>
          <w:szCs w:val="32"/>
          <w:shd w:fill="auto" w:val="clear"/>
        </w:rPr>
      </w:r>
    </w:p>
    <w:p>
      <w:pPr>
        <w:pStyle w:val="Normal"/>
        <w:jc w:val="center"/>
        <w:rPr>
          <w:b/>
          <w:sz w:val="32"/>
          <w:szCs w:val="32"/>
          <w:highlight w:val="none"/>
          <w:shd w:fill="auto" w:val="clear"/>
        </w:rPr>
      </w:pPr>
      <w:r>
        <w:rPr>
          <w:b/>
          <w:sz w:val="32"/>
          <w:szCs w:val="32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Защита населения</w:t>
      </w:r>
      <w:r>
        <w:rPr>
          <w:sz w:val="28"/>
          <w:szCs w:val="28"/>
          <w:shd w:fill="auto" w:val="clear"/>
        </w:rPr>
        <w:t xml:space="preserve"> - комплекс взаимоувязанных по месту, времени проведения, цели ресурсам мероприятий РСЧС,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бедствий, техногенных аварий и катастроф. </w:t>
      </w:r>
    </w:p>
    <w:p>
      <w:pPr>
        <w:pStyle w:val="Normal"/>
        <w:shd w:val="clear" w:color="auto" w:fill="FFFFFF"/>
        <w:ind w:firstLine="709"/>
        <w:textAlignment w:val="baseline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Цели и принципы защиты определены Федеральными законами Российской Федерации: </w:t>
      </w:r>
    </w:p>
    <w:p>
      <w:pPr>
        <w:pStyle w:val="Normal"/>
        <w:numPr>
          <w:ilvl w:val="0"/>
          <w:numId w:val="1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«О гражданской обороне» от 12.02.1998 г.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28-ФЗ; </w:t>
      </w:r>
    </w:p>
    <w:p>
      <w:pPr>
        <w:pStyle w:val="Normal"/>
        <w:widowControl w:val="false"/>
        <w:numPr>
          <w:ilvl w:val="0"/>
          <w:numId w:val="1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«О защите населения и территорий РФ от ЧС природного и техногенного характера» от 21.12.1994 г.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68-ФЗ.</w:t>
      </w:r>
    </w:p>
    <w:p>
      <w:pPr>
        <w:pStyle w:val="Normal"/>
        <w:ind w:firstLine="709"/>
        <w:jc w:val="both"/>
        <w:rPr>
          <w:i/>
          <w:i/>
          <w:sz w:val="28"/>
          <w:szCs w:val="28"/>
          <w:highlight w:val="none"/>
          <w:shd w:fill="auto" w:val="clear"/>
        </w:rPr>
      </w:pPr>
      <w:r>
        <w:rPr>
          <w:i/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Целью защитных мероприятий, в соответствии с законами, является предотвращение или максимальное снижение возможности поражения населения.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В статье 4 Федерального закона </w:t>
      </w:r>
      <w:r>
        <w:rPr>
          <w:b/>
          <w:sz w:val="28"/>
          <w:szCs w:val="28"/>
          <w:shd w:fill="auto" w:val="clear"/>
          <w:lang w:val="en-US"/>
        </w:rPr>
        <w:t>N</w:t>
      </w:r>
      <w:r>
        <w:rPr>
          <w:b/>
          <w:sz w:val="28"/>
          <w:szCs w:val="28"/>
          <w:shd w:fill="auto" w:val="clear"/>
        </w:rPr>
        <w:t xml:space="preserve"> 28 определены основные принципы организации и ведения гражданской обороны</w:t>
      </w:r>
      <w:r>
        <w:rPr>
          <w:sz w:val="28"/>
          <w:szCs w:val="28"/>
          <w:shd w:fill="auto" w:val="clear"/>
        </w:rPr>
        <w:t xml:space="preserve"> (далее - ГО):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и ведение ГО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 функциями необходимо понимать материальное содержание деятельности государственных органов. Именно из конкретных функций складывается практическая повседневная деятельность государственных органов по решению их задач. Как ГО является элементом обороны, так и оборонное строительство ведет к укреплению оборонного потенциала страны. Вооруженная и невооруженная защита РФ, обеспеченность неприкосновенности ее границ способствует повышению безопасности для страны и ее населения.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firstLine="709" w:lef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Подготовка государства к ведению ГО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Данная часть статьи раскрывает принцип планомерности и заблаговременности подготовки к ГО. Сама подготовка должна вестись в мирное время. Еще в Древнем Риме существовало выражение: «Хочешь мира – готовься к войне». Достаточная подготовка в области ГО в мирное время способствует уменьшению потерь среди мирного населения, материальных и культурных ценностей в случае начала военных конфликтов.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firstLine="709" w:lef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Ведение ГО на территории РФ или в отдельных ее местностях начинается с момента введения в действие Президентом РФ Плана ГО и защиты населения РФ.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Планы ГО и защиты населения определяют объем, организацию, порядок обеспечения, способы и сроки выполнения мероприятий по ГО и ликвидации ЧС природного и техногенного характера в военное время.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Порядок разработки, согласования и утверждения планов ГО и защиты населения определяется МЧС России.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В статье 7 Федерального закона 68 определены основные принципы защиты населения и территорий от ЧС:</w:t>
      </w:r>
    </w:p>
    <w:p>
      <w:pPr>
        <w:pStyle w:val="Normal"/>
        <w:widowControl w:val="false"/>
        <w:ind w:firstLine="709"/>
        <w:jc w:val="both"/>
        <w:rPr>
          <w:b/>
          <w:bCs/>
          <w:color w:val="000000"/>
          <w:sz w:val="28"/>
          <w:szCs w:val="28"/>
          <w:highlight w:val="none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0" w:name="sub_701"/>
      <w:bookmarkEnd w:id="0"/>
      <w:r>
        <w:rPr>
          <w:rStyle w:val="Style21"/>
          <w:sz w:val="28"/>
          <w:szCs w:val="28"/>
          <w:shd w:fill="auto" w:val="clear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1" w:name="sub_701_Копия_1"/>
      <w:bookmarkStart w:id="2" w:name="sub_702"/>
      <w:bookmarkEnd w:id="1"/>
      <w:bookmarkEnd w:id="2"/>
      <w:r>
        <w:rPr>
          <w:rStyle w:val="Style21"/>
          <w:sz w:val="28"/>
          <w:szCs w:val="28"/>
          <w:shd w:fill="auto" w:val="clear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ситуаций.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3" w:name="sub_702_Копия_1"/>
      <w:bookmarkStart w:id="4" w:name="sub_703"/>
      <w:bookmarkEnd w:id="3"/>
      <w:bookmarkEnd w:id="4"/>
      <w:r>
        <w:rPr>
          <w:rStyle w:val="Style21"/>
          <w:sz w:val="28"/>
          <w:szCs w:val="28"/>
          <w:shd w:fill="auto" w:val="clear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5" w:name="sub_703_Копия_1"/>
      <w:bookmarkStart w:id="6" w:name="sub_704"/>
      <w:bookmarkEnd w:id="5"/>
      <w:bookmarkEnd w:id="6"/>
      <w:r>
        <w:rPr>
          <w:rStyle w:val="Style21"/>
          <w:sz w:val="28"/>
          <w:szCs w:val="28"/>
          <w:shd w:fill="auto" w:val="clear"/>
        </w:rPr>
        <w:t>Ликвидация чрезвычайных ситуаций осуществляется силами и средствами организаций, органов местного самоуправления, исполнительных органов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7" w:name="sub_704_Копия_1"/>
      <w:bookmarkStart w:id="8" w:name="sub_705"/>
      <w:bookmarkEnd w:id="7"/>
      <w:bookmarkEnd w:id="8"/>
      <w:r>
        <w:rPr>
          <w:rStyle w:val="Style21"/>
          <w:sz w:val="28"/>
          <w:szCs w:val="28"/>
          <w:shd w:fill="auto" w:val="clear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  <w:bookmarkStart w:id="9" w:name="sub_705_Копия_1"/>
      <w:bookmarkStart w:id="10" w:name="sub_705_Копия_1"/>
      <w:bookmarkEnd w:id="10"/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bookmarkStart w:id="11" w:name="dst100051"/>
      <w:bookmarkEnd w:id="11"/>
      <w:r>
        <w:rPr>
          <w:sz w:val="28"/>
          <w:szCs w:val="28"/>
          <w:shd w:fill="auto" w:val="clear"/>
        </w:rPr>
        <w:t>Для защиты жизни и здоровья населения следует применять следующие основные мероприятия гражданской обороны, являющиеся составной частью мероприятий РСЧС</w:t>
      </w:r>
      <w:r>
        <w:rPr>
          <w:rStyle w:val="FootnoteReference"/>
          <w:sz w:val="28"/>
          <w:szCs w:val="28"/>
          <w:shd w:fill="auto" w:val="clear"/>
        </w:rPr>
        <w:footnoteReference w:id="2"/>
      </w:r>
      <w:r>
        <w:rPr>
          <w:sz w:val="28"/>
          <w:szCs w:val="28"/>
          <w:shd w:fill="auto" w:val="clear"/>
        </w:rPr>
        <w:t>:</w:t>
      </w:r>
    </w:p>
    <w:p>
      <w:pPr>
        <w:pStyle w:val="Formattext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укрытие людей в приспособленных под нужды защиты населения помещениях производственных, общественных и жилых зданий, а также в специальных защитных сооружениях;</w:t>
      </w:r>
    </w:p>
    <w:p>
      <w:pPr>
        <w:pStyle w:val="Formattext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эвакуацию населения из зон ЧС;</w:t>
      </w:r>
    </w:p>
    <w:p>
      <w:pPr>
        <w:pStyle w:val="Formattext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использование средств индивидуальной защиты органов дыхания и кожных покровов;</w:t>
      </w:r>
    </w:p>
    <w:p>
      <w:pPr>
        <w:pStyle w:val="Formattext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проведение мероприятий медицинской защиты;</w:t>
      </w:r>
    </w:p>
    <w:p>
      <w:pPr>
        <w:pStyle w:val="Formattext"/>
        <w:numPr>
          <w:ilvl w:val="0"/>
          <w:numId w:val="2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firstLine="709" w:left="0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проведение аварийно-спасательных и других неотложных работ в зонах ЧС.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200"/>
        <w:contextualSpacing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val="en-US" w:eastAsia="en-US"/>
        </w:rPr>
        <w:t>II</w:t>
      </w: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  <w:t xml:space="preserve"> РАЗДЕЛ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center"/>
        <w:rPr>
          <w:sz w:val="36"/>
          <w:szCs w:val="36"/>
          <w:highlight w:val="none"/>
          <w:shd w:fill="auto" w:val="clear"/>
        </w:rPr>
      </w:pPr>
      <w:r>
        <w:rPr>
          <w:sz w:val="36"/>
          <w:szCs w:val="36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>СПОСОБЫ ЗАЩИТЫ, ИХ СОДЕРЖАНИЕ И ОРГАНИЗАЦИЯ ВЫПОЛНЕНИЯ: ИНЖЕНЕРНАЯ ЗАЩИТА, ЭВАКУАЦИЯ, ИСПОЛЬЗОВАНИЕ СРЕДСТВ ИНДИВИДУАЛЬНОЙ ЗАЩИТЫ, ПРОВЕДЕНИЕ АСДНР</w:t>
      </w:r>
      <w:r>
        <w:br w:type="page"/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ИНЖЕНЕРНАЯ ЗАЩИТА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общей системе защиты населения от ЧС важнейшая роль отводится укрытию населения в защитных сооружениях (инженерная защита).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соответствии с постановлением Правительства от 26 ноября 2007 г. </w:t>
        <w:br/>
      </w:r>
      <w:r>
        <w:rPr>
          <w:sz w:val="28"/>
          <w:szCs w:val="28"/>
          <w:shd w:fill="auto" w:val="clear"/>
          <w:lang w:val="en-US"/>
        </w:rPr>
        <w:t xml:space="preserve">N </w:t>
      </w:r>
      <w:r>
        <w:rPr>
          <w:sz w:val="28"/>
          <w:szCs w:val="28"/>
          <w:shd w:fill="auto" w:val="clear"/>
        </w:rPr>
        <w:t>804 «Об утверждении Положения о гражданской обороне в Российской Федерации»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Style w:val="Style21"/>
          <w:sz w:val="28"/>
          <w:szCs w:val="28"/>
          <w:shd w:fill="auto" w:val="clear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приспособление в мирное время и при приведении ГО в готовность к ее ведению и в ходе ее ведения в военное время заглубленных помещений и других сооружений подземного пространства для укрытия населения;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подготовка в мирное время и строительство при приведении ГО в готовность к ее ведению и в ходе ее ведения в военное время быстровозводимых защитных сооружений ГО с упрощенным внутренним оборудованием и укрытий простейшего типа;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обеспечение укрытия населения в защитных сооружениях ГО, в заглубленных помещениях и других сооружениях подземного пространства;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ГО и планируемых мероприятий по ГО и защите населения.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соответствии с приказом МЧС России от 14.11.2008 г.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687 «Об утверждении Положения об организации и ведении ГО в муниципальных образованиях и организациях» органы местного самоуправления в целях решения задач по предоставлению населению средств коллективной и индивидуальной защиты, согласно пункта 15.4, планируют и осуществляют следующие основные мероприятия: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ГО и их технических систем;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разработка планов наращивания инженерной защиты территорий, отнесенных в установленном порядке к группам по ГО;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приспособление в мирное время и при переводе ГО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планирование и организация строительства недостающих защитных сооружений ГО в военное время;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обеспечение укрытия населения в защитных сооружениях ГО, заглубленных помещениях и других сооружениях подземного пространства;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zh-TW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Обеспечение укрываемого населения запасами продовольственных, медицинских и иных средств осуществляется в соответствии с постановлением Правительства РФ от 27.04.2000 г.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 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 МЧС России осуществляет организационно-методическое руководство и контроль за накоплением, хранением и использованием этих запасов.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К числу основных мероприятий по защите населения относится укрытие населения, материальных и культурных ценностей в защитных сооружениях (ЗС) которые в свою очередь классифицируются: по назначению, месту расположения, времени возведения, защитным свойствам, вместимости.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 месту расположения</w:t>
      </w:r>
      <w:r>
        <w:rPr>
          <w:sz w:val="28"/>
          <w:szCs w:val="28"/>
          <w:shd w:fill="auto" w:val="clear"/>
        </w:rPr>
        <w:t xml:space="preserve"> защитные сооружения подразделяют на три группы: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отдельно стоящие (располагаются вне зданий);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встроенные (располагаются в подвальных и цокольных этажах зданий, они имеют большое распространение, их строительство экономически более целесообразно);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оборудованные в горных выработках.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 времени возведения</w:t>
      </w:r>
      <w:r>
        <w:rPr>
          <w:sz w:val="28"/>
          <w:szCs w:val="28"/>
          <w:shd w:fill="auto" w:val="clear"/>
        </w:rPr>
        <w:t xml:space="preserve"> различают ЗС: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заблаговременно возводимые (капитальные сооружения из долговечных несгораемых материалов);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быстровозводимые (сооружаемые в короткий период при угрозе ЧС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 применением подручных материалов).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 вместимости</w:t>
      </w:r>
      <w:r>
        <w:rPr>
          <w:sz w:val="28"/>
          <w:szCs w:val="28"/>
          <w:shd w:fill="auto" w:val="clear"/>
        </w:rPr>
        <w:t xml:space="preserve"> ЗС классифицируют следующим образом: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малые (до 150 человек);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средние (150 – 600 человек);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большие (более 600 человек).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проектировании ЗС на укрытие одного человека предусматривается 0,4 – 0,6 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>; для организации пункта управления – не менее 12 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>, для медпункта  – не менее 18 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 назначению</w:t>
      </w:r>
      <w:r>
        <w:rPr>
          <w:sz w:val="28"/>
          <w:szCs w:val="28"/>
          <w:shd w:fill="auto" w:val="clear"/>
        </w:rPr>
        <w:t xml:space="preserve"> различают ЗС общего назначения (для защиты населения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городах и сельской местности) и специального назначения (для размещения органов управления, систем оповещения и связи, лечебных учреждений).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Защитные сооружения в зависимости от их защитных свойств подразделяются на убежища, противорадиационные укрытия и укрытия.</w:t>
      </w:r>
    </w:p>
    <w:p>
      <w:pPr>
        <w:pStyle w:val="BodyText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Убежище - </w:t>
      </w:r>
      <w:r>
        <w:rPr>
          <w:rStyle w:val="11"/>
          <w:rFonts w:cs="Times New Roman" w:ascii="Times New Roman" w:hAnsi="Times New Roman"/>
          <w:b w:val="false"/>
          <w:bCs/>
          <w:color w:val="000000"/>
          <w:sz w:val="28"/>
          <w:szCs w:val="28"/>
          <w:shd w:fill="auto" w:val="clear"/>
        </w:rPr>
        <w:t>защитное сооружение ГО, обеспечивающее в течение нормативного времени защиту укрываемых от расчетного воздействия поражающих факторов ядерного оружия и обычных средств поражения, бактериальных (биологических) средств, боевых отравляющих веществ (далее – ОВ), а также при необходимости от аварийно химически опасных веществ (далее – АХОВ), радиоактивных веществ (далее – РВ) при разрушении ядерных установок, пунктов хранения ядерных материалов, радиоактивных веществ (далее – РВ) и радиоактивных отходов, высоких температур и продуктов горения при пожарах</w:t>
      </w:r>
      <w:r>
        <w:rPr>
          <w:rStyle w:val="FootnoteReference"/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footnoteReference w:id="3"/>
      </w:r>
      <w:r>
        <w:rPr>
          <w:rStyle w:val="11"/>
          <w:rFonts w:cs="Times New Roman" w:ascii="Times New Roman" w:hAnsi="Times New Roman"/>
          <w:b w:val="false"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Убежища создаются: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работников НРС организаций, отнесенных к категориям по ГО;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работников объектов использования атомной энергии, особо радиационно-опасных и ядерно-опасных производственных объектов и организаций, обеспечивающих функционирование и жизнедеятельность этих объектов и организаций.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Убежища, в зависимости от места их размещения, должны обеспечивать защиту укрываемых от расчетного воздействия поражающих факторов ядерного оружия и обычных средств поражения, бактериальных (биологических) средств, боевых ОВ, а также при необходимости от АХОВ, РВ при разрушении ядерных установок, пунктов хранения ядерных материалов, РВ и радиоактивных отходов, высоких температур и продуктов горения при пожарах.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Все убежища (кроме расположенных в пределах границ проектной застройки атомных станций, сооружений и комплексов с промышленными, экспериментальными и исследовательскими ядерными реакторами, критическими и подкритическими ядерными стендами; других содержащих ядерные материалы сооружений, комплексов, установок для производства, использования, переработки ядерного топлива и ядерных материалов, а также в метрополитенах) должны иметь степень ослабления проникающей радиации ограждающими конструкциями, равную 1000, и обеспечивать защиту от воздействия избыточного давления во фронте вертикальной устойчивости воздуха (далее - ВУВ), равного 100 кПа (1 кгс/см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>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разработке проектной документации на объекты организаций, подлежащих отнесению к категории по ГО, предусматривается строительство убежищ, предназначенных для укрытия наибольшей работающей смены (далее - НРС) указанных объектов.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Системы жизнеобеспечения убежищ должны обеспечивать непрерывное пребывание в них расчетного количества укрываемых в течение двух суток, за исключением систем жизнеобеспечения убежищ, располагаемых в районе размещения объектов использования атомной энергии.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Защиту НРС объектов использования атомной энергии должны осуществлять в убежищах, расположенных в границах проектной застройки объектов использования атомной энергии и их санитарно-защитной зоны, рассчитанных на избыточное давление во фронте ВУВ, равное 200 кПа (2 кгс/см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>), и степень ослабления проникающей радиации ограждающими конструкциями, равную 5000, содержащихся в готовности к немедленному приему укрываемых. Системы жизнеобеспечения убежищ должны быть рассчитаны на пятисуточное пребывание укрываемых.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Подземные сооружения метрополитенов, приспосабливаемые для защиты населения и его жизнеобеспечения, должны быть рассчитаны на избыточное давление по фронту ВУВ, равное 100 кПа (1 кгс/см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 xml:space="preserve"> и обеспечивать степень ослабления проникающей радиации, равную 1000.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Воздухоснабжение убежищ следует осуществлять по двум режимам: чистой вентиляции (1-й режим) и фильтровентиляции (2-й режим).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убежищах, расположенных в местах возможной опасной загазованности воздуха продуктами горения, в зонах возможного химического заражения, следует предусматривать режим полной или частичной изоляции (3-й режим).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Убежища располагаются в местах наибольшего сосредоточения укрываемых, как правило, в зданиях наименьшей этажности, при этом должны предусматриваться технические решения для обеспечения возможности выхода укрываемых из убежища в условиях заваливания прилегающей территории обломками разрушенных наземных зданий и сооружений.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Противорадиационное укрытие</w:t>
      </w:r>
      <w:r>
        <w:rPr>
          <w:sz w:val="28"/>
          <w:szCs w:val="28"/>
          <w:shd w:fill="auto" w:val="clear"/>
        </w:rPr>
        <w:t xml:space="preserve"> – ЗС,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определенного времени</w:t>
      </w:r>
      <w:r>
        <w:rPr>
          <w:rStyle w:val="FootnoteReference"/>
          <w:sz w:val="28"/>
          <w:szCs w:val="28"/>
          <w:shd w:fill="auto" w:val="clear"/>
        </w:rPr>
        <w:footnoteReference w:id="4"/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Кроме того, они защищают от светового излучения, проникающей радиации (в том числе и от нейтронного потока) и частично от ВУВ, а также от попадания на кожу и одежду людей радиоактивных, ОВ и бактериальных (биологических) средств.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Противорадиационные укрытия создаются для населения и работников организаций, не отнесенных к категориям по ГО,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Устраиваются чаще всего в подвальных этажах зданий и других сооружений. Под ПРУ приспосабливают все пригодные для этой цели заглубленные помещения: подвалы, погреба, овощехранилища, подземные выработки и пещеры, а также помещения в наземных зданиях, имеющих стены из материалов, обладающих необходимыми защитными свойствами. Защита населения в районах размещения объектов использования атомной энергии, проживающего за границей проектной застройки указанных объектов, но в пределах зоны возможного радиоактивного загрязнения, осуществляется в ПРУ, со степенью ослабления радиации внешнего облучения, равной 500.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Системы жизнеобеспечения противорадиационного укрытия должны быть рассчитаны на двухсуточное пребывание укрываемых. Воздухоснабжение ПРУ следует осуществлять по двум режимам: чистой вентиляции (1-й режим) и фильтровентиляции (2-й режим).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Укрытие</w:t>
      </w:r>
      <w:r>
        <w:rPr>
          <w:sz w:val="28"/>
          <w:szCs w:val="28"/>
          <w:shd w:fill="auto" w:val="clear"/>
        </w:rPr>
        <w:t xml:space="preserve"> – ЗС, обеспечивающее защиту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</w:t>
      </w:r>
      <w:r>
        <w:rPr>
          <w:rStyle w:val="FootnoteReference"/>
          <w:sz w:val="28"/>
          <w:szCs w:val="28"/>
          <w:shd w:fill="auto" w:val="clear"/>
        </w:rPr>
        <w:footnoteReference w:id="5"/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Укрытия создаются: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работников организаций, не отнесенных к категориям по ГО, и населения, проживающего на территориях, отнесенных к группам по ГО, находящихся за пределами зон возможного радиоактивного заражения (загрязнения) и возможных сильных разрушений;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ГО;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Укрытия должны обеспечивать защиту: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наибольшей работающей смены организаций, расположенных в зоне возможных разрушений и продолжающих свою деятельность в период мобилизации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 военное время, но не отнесенных к категориям по ГО;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работников работающей смены дежурного и линейного персонала организаций, расположенных вне зоны возможных сильных разрушений и обеспечивающих жизнедеятельность городов, отнесенных к особой группе по ГО, и организаций, отнесенных к категории особой важности по ГО;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населения городов, отнесенных к группам по ГО, в том числе нетранспортабельных больных, находящихся в учреждениях здравоохранения, </w:t>
      </w:r>
    </w:p>
    <w:p>
      <w:pPr>
        <w:pStyle w:val="Normal"/>
        <w:widowControl/>
        <w:tabs>
          <w:tab w:val="clear" w:pos="708"/>
          <w:tab w:val="left" w:pos="993" w:leader="none"/>
          <w:tab w:val="left" w:pos="2650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 обслуживающего их медицинского персонала от фугасного и осколочного действия ОСП, поражения обломками строительных конструкций, обрушения конструкций вышерасположенных этажей зданий различной этажности.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Воздухоснабжение укрытий осуществляется, как правило, в режиме естественной вентиляции. Системы жизнеобеспечения укрытий должны быть рассчитаны на односуточное пребывание укрываемых.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том случае, если укрытие расположено одновременно в зоне возможных разрушений и зоне возможного радиоактивного загрязнения, должна быть предусмотрена дополнительная защита ограждающих его конструкций от проникающей радиации со степенью ослабления радиации внешнего воздействия, равной 500, а системы жизнеобеспечения укрытия должны быть рассчитаны на двухсуточное пребывание укрываемых.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Укрытия, расположенные в зоне возможных разрушений, должны обеспечивать защиту от воздействия избыточного давления по фронту ВУВ, равного 50 кПа (0,5 кгс/см</w:t>
      </w:r>
      <w:r>
        <w:rPr>
          <w:rFonts w:ascii="Sylfaen" w:hAnsi="Sylfaen"/>
          <w:sz w:val="28"/>
          <w:szCs w:val="28"/>
          <w:shd w:fill="auto" w:val="clear"/>
        </w:rPr>
        <w:t>²</w:t>
      </w:r>
      <w:r>
        <w:rPr>
          <w:sz w:val="28"/>
          <w:szCs w:val="28"/>
          <w:shd w:fill="auto" w:val="clear"/>
        </w:rPr>
        <w:t>).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Защитные сооружения для НРС организаций, отнесенных к категориям по ГО, необходимо располагать на территории этих объектов или в пределах их санитарно-защитной зоны, для остального населения – на селитебной территории.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ЗС, расположенных на территориях, отнесенных к особой группе по ГО, радиус сбора укрываемых принимается не более 500 м, а для иных территорий – не более 1000 м. При подвозе укрываемых автотранспортом радиус сбора укрываемых в ПРУ допускается увеличивать до 20 км.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Защитные сооружения в зонах возможного радиоактивного загрязнения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 возможного химического заражения содержатся в готовности к немедленному приему укрываемых.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Предусмотренные проектной документацией ЗС, входящие в состав ХОО, АЭС, сооружений и комплексов с промышленными, экспериментальными и исследовательскими ядерными реакторами, критическими и подкритическими ядерными стендами; других, содержащих ядерные материалы сооружений, комплексов, установок для производства, использования, переработки ядерного топлива и ядерных материалов, необходимо включать в состав пусковых комплексов или объектов первой очереди строительства. При этом ввод в эксплуатацию убежищ при строительстве АЭС предусматривается до физического пуска их первого энергоблока.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Накопление необходимого количества ЗС осуществляется заблаговременно путем: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строительства защитных сооружений;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сохранения защитных свойств и поддержания в исправности систем жизнеобеспечения существующих ЗС, и обеспечения их готовности к приему укрываемых;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приспособления под ЗС вновь строящихся и существующих отдельно стоящих заглубленных сооружений различного назначения;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приспособления для защиты населения подземных горных выработок, естественных пещер и других подземных полостей;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приспособления в мирное время метрополитенов для укрытия населения с учетом опасностей мирного и военного времени, наличия защитных сооружений и планируемых мероприятий по ГО и защите населения;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приобретения и монтажа герметичных камер-убежищ;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приспособления под ЗС помещений в подвальных помещениях, цокольных и надземных этажах существующих и вновь строящихся зданий и сооружений или возведения отдельно стоящих возвышающихся ЗС.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мирное время ЗС в установленном порядке могут использоваться для нужд предприятий, учреждений, организаций и обслуживания населения, а также для защиты населения от поражающих факторов, вызванных ЧС природного и техногенного характера, с сохранением возможности приведения их в заданные сроки в состояние готовности к использованию по назначению. </w:t>
      </w:r>
    </w:p>
    <w:p>
      <w:pPr>
        <w:pStyle w:val="Normal"/>
        <w:tabs>
          <w:tab w:val="clear" w:pos="708"/>
          <w:tab w:val="left" w:pos="993" w:leader="none"/>
          <w:tab w:val="left" w:pos="265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Наращивание фонда укрытий осуществляют за счет планирования время и строительства в период мобилизации и военное время быстровозводимых укрытий, приспособлений для укрытий подвальных, цокольных и первых этажей существующих зданий и сооружений различного назначения, а также подземных пространств городов.</w:t>
      </w:r>
    </w:p>
    <w:p>
      <w:pPr>
        <w:pStyle w:val="Normal"/>
        <w:rPr>
          <w:color w:val="FF0000"/>
          <w:sz w:val="28"/>
          <w:szCs w:val="28"/>
          <w:highlight w:val="none"/>
          <w:shd w:fill="auto" w:val="clear"/>
        </w:rPr>
      </w:pPr>
      <w:r>
        <w:rPr>
          <w:color w:val="FF0000"/>
          <w:sz w:val="28"/>
          <w:szCs w:val="28"/>
          <w:shd w:fill="auto" w:val="clear"/>
        </w:rPr>
      </w:r>
    </w:p>
    <w:p>
      <w:pPr>
        <w:pStyle w:val="ListParagraph"/>
        <w:keepNext w:val="true"/>
        <w:numPr>
          <w:ilvl w:val="0"/>
          <w:numId w:val="11"/>
        </w:numPr>
        <w:jc w:val="both"/>
        <w:outlineLvl w:val="0"/>
        <w:rPr>
          <w:highlight w:val="none"/>
          <w:shd w:fill="auto" w:val="clear"/>
        </w:rPr>
      </w:pPr>
      <w:r>
        <w:rPr>
          <w:b/>
          <w:bCs/>
          <w:kern w:val="2"/>
          <w:sz w:val="28"/>
          <w:szCs w:val="28"/>
          <w:shd w:fill="auto" w:val="clear"/>
          <w:lang w:eastAsia="x-none"/>
        </w:rPr>
        <w:t xml:space="preserve"> </w:t>
      </w:r>
      <w:r>
        <w:rPr>
          <w:b/>
          <w:bCs/>
          <w:kern w:val="2"/>
          <w:sz w:val="28"/>
          <w:szCs w:val="28"/>
          <w:shd w:fill="auto" w:val="clear"/>
          <w:lang w:val="x-none" w:eastAsia="x-none"/>
        </w:rPr>
        <w:t>ОРГАНИЗАЦИЯ ЭВАКУАЦИИ НАСЕЛЕНИЯ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lineRule="auto" w:line="24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Эвакуация населения, материальных и культурных ценностей в безопасные районы  в соответствии с Федеральным законом «О гражданской обороне» является одной из основных задач в области гражданской обороны.</w:t>
      </w:r>
    </w:p>
    <w:p>
      <w:pPr>
        <w:pStyle w:val="Normal"/>
        <w:spacing w:lineRule="auto" w:line="240"/>
        <w:jc w:val="both"/>
        <w:rPr/>
      </w:pPr>
      <w:r>
        <w:rPr>
          <w:rStyle w:val="Style21"/>
          <w:sz w:val="28"/>
          <w:szCs w:val="28"/>
          <w:shd w:fill="auto" w:val="clear"/>
        </w:rPr>
        <w:t>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12" w:name="sub_92"/>
      <w:bookmarkEnd w:id="12"/>
      <w:r>
        <w:rPr>
          <w:rStyle w:val="Style21"/>
          <w:sz w:val="28"/>
          <w:szCs w:val="28"/>
          <w:shd w:fill="auto" w:val="clear"/>
        </w:rPr>
        <w:t>организация планирования, подготовки и проведения эвакуации;</w:t>
      </w:r>
    </w:p>
    <w:p>
      <w:pPr>
        <w:pStyle w:val="Normal"/>
        <w:widowControl/>
        <w:bidi w:val="0"/>
        <w:spacing w:lineRule="auto" w:line="240" w:before="0" w:after="0"/>
        <w:ind w:firstLine="737" w:left="0" w:right="0"/>
        <w:jc w:val="both"/>
        <w:rPr/>
      </w:pPr>
      <w:bookmarkStart w:id="13" w:name="sub_92_Копия_1"/>
      <w:bookmarkStart w:id="14" w:name="sub_93"/>
      <w:bookmarkEnd w:id="13"/>
      <w:bookmarkEnd w:id="14"/>
      <w:r>
        <w:rPr>
          <w:rStyle w:val="Style21"/>
          <w:sz w:val="28"/>
          <w:szCs w:val="28"/>
          <w:shd w:fill="auto" w:val="clear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Normal"/>
        <w:spacing w:lineRule="auto" w:line="240"/>
        <w:ind w:firstLine="709"/>
        <w:jc w:val="both"/>
        <w:rPr/>
      </w:pPr>
      <w:bookmarkStart w:id="15" w:name="sub_93_Копия_1"/>
      <w:bookmarkEnd w:id="15"/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>создание и организация деятельности эвакуационных органов, а также подготовка их личного состава.</w:t>
      </w:r>
      <w:r>
        <w:rPr>
          <w:rStyle w:val="FootnoteReference"/>
          <w:rFonts w:eastAsia="Calibri"/>
          <w:sz w:val="28"/>
          <w:szCs w:val="28"/>
          <w:shd w:fill="auto" w:val="clear"/>
          <w:lang w:eastAsia="en-US"/>
        </w:rPr>
        <w:footnoteReference w:id="6"/>
      </w:r>
    </w:p>
    <w:p>
      <w:pPr>
        <w:pStyle w:val="Normal"/>
        <w:spacing w:lineRule="auto" w:line="240"/>
        <w:ind w:firstLine="709"/>
        <w:jc w:val="both"/>
        <w:rPr/>
      </w:pP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 xml:space="preserve">Во исполнение данного Федерального закона, принят целый ряд документов по вопросам эвакуации. Например: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 xml:space="preserve">Постановление Правительства РФ от 19 сентября 2022 г. N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характера»;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 xml:space="preserve">Постановление Правительства РФ от 30 ноября 2023 г. N 2056 ДСП «О порядке эвакуации населения, материальных и культурных ценностей в безопасные районы»;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 xml:space="preserve">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утв. МЧС России 15 июня 2022 г. N М-11-1541;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 xml:space="preserve">Методические рекомендации по планированию, подготовке и проведению эвакуации населения, материальных и культурных ценностей в безопасные районы, утв. МЧС России 10 февраля 2021 г. N 2-4-71-2-11д.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8"/>
          <w:shd w:fill="auto" w:val="clear"/>
          <w:lang w:eastAsia="en-US"/>
        </w:rPr>
      </w:r>
    </w:p>
    <w:p>
      <w:pPr>
        <w:pStyle w:val="ConsPlusNormal"/>
        <w:widowControl w:val="false"/>
        <w:bidi w:val="0"/>
        <w:spacing w:lineRule="auto" w:line="240" w:before="0" w:after="0"/>
        <w:ind w:firstLine="737" w:left="0" w:right="0"/>
        <w:jc w:val="both"/>
        <w:rPr/>
      </w:pPr>
      <w:r>
        <w:rPr>
          <w:sz w:val="28"/>
          <w:szCs w:val="28"/>
          <w:shd w:fill="auto" w:val="clear"/>
        </w:rPr>
        <w:t>Так, Методические рекомендации (</w:t>
      </w: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 xml:space="preserve">10 февраля 2021 г. N 2-4-71-2-11д) </w:t>
      </w:r>
      <w:r>
        <w:rPr>
          <w:sz w:val="28"/>
          <w:szCs w:val="28"/>
          <w:shd w:fill="auto" w:val="clear"/>
        </w:rPr>
        <w:t>определяют рекомендуемый порядок планирования, подготовки и проведения эвакуации населения, материальных и культурных ценностей в безопасные районы, а также обеспечения эвакуационных мероприятий.</w:t>
      </w:r>
    </w:p>
    <w:p>
      <w:pPr>
        <w:pStyle w:val="ConsPlusNormal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методических рекомендациях изложены:</w:t>
      </w:r>
    </w:p>
    <w:p>
      <w:pPr>
        <w:pStyle w:val="ConsPlusNormal"/>
        <w:spacing w:before="0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общие положения по организации и проведению эвакуации населения, материальных и культурных ценностей в безопасные районы;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особенности организации и проведения эвакуации населения, материальных и культурных ценностей в период нарастания угрозы агрессии против Российской Федерации до объявления мобилизации в Российской Федерации;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особенности организации и проведения эвакуации населения, материальных и культурных ценностей в период агрессии против Российской Федерации или непосредственной угрозы агрессии, в том числе при возникновении вооруженных конфликтов, направленных против Российской Федерации;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особенности организации и проведения эвакуации населения, материальных и культурных ценностей при чрезвычайных ситуациях природного и техногенного характера в военное время;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содержание мероприятий по основным видам обеспечения эвакуации;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рекомендуемые формы основных документов;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примерные структуры основных эвакуационных органов и их рекомендуемые функциональные обязанности.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Методические рекомендации предназначены для должностных лиц, осуществляющих руководство гражданской обороной, органов, осуществляющих управление гражданской обороной, сотрудников эвакуационных органов.</w:t>
      </w:r>
    </w:p>
    <w:p>
      <w:pPr>
        <w:pStyle w:val="ConsPlusNormal"/>
        <w:spacing w:lineRule="auto" w:line="240" w:before="12" w:after="0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Предложенные Методические рекомендации следует применять с учетом географических особенностей расположения территорий субъектов Российской Федерации, с учетом прогнозируемой возможной обстановки, которая может сложиться при вооруженных конфликтах или вследствие этих конфликтов, а также при чрезвычайных ситуациях природного и техногенного характера в военное время.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Эвакуация населения, материальных и культурных ценностей</w:t>
      </w:r>
      <w:r>
        <w:rPr>
          <w:sz w:val="28"/>
          <w:szCs w:val="28"/>
          <w:shd w:fill="auto" w:val="clear"/>
        </w:rPr>
        <w:t xml:space="preserve"> - 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Зона возможных опасностей</w:t>
      </w:r>
      <w:r>
        <w:rPr>
          <w:sz w:val="28"/>
          <w:szCs w:val="28"/>
          <w:shd w:fill="auto" w:val="clear"/>
        </w:rPr>
        <w:t xml:space="preserve"> - зона возможных сильных разрушений,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4 - часового добегания волны прорыва.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/>
          <w:sz w:val="28"/>
          <w:szCs w:val="28"/>
          <w:shd w:fill="auto" w:val="clear"/>
          <w:lang w:eastAsia="en-US"/>
        </w:rPr>
        <w:t>Безопасный район</w:t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 - территория</w:t>
      </w:r>
      <w:r>
        <w:rPr>
          <w:shd w:fill="auto" w:val="clear"/>
        </w:rPr>
        <w:t xml:space="preserve">, </w:t>
      </w:r>
      <w:r>
        <w:rPr>
          <w:sz w:val="28"/>
          <w:szCs w:val="28"/>
          <w:shd w:fill="auto" w:val="clear"/>
        </w:rPr>
        <w:t>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Вывоз населения в безопасные районы осуществляется всеми видами транспорта независимо от форм собственности, привлекаемого в соответствии с законодательством Российской Федерации и не используемого по мобилизационным планам и в интересах Вооруженных Сил Российской Федерации, с одновременным выводом части населения пешим порядком.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Зона возможных разрушений</w:t>
      </w:r>
      <w:r>
        <w:rPr>
          <w:sz w:val="28"/>
          <w:szCs w:val="28"/>
          <w:shd w:fill="auto" w:val="clear"/>
        </w:rPr>
        <w:t xml:space="preserve"> - территория, в пределах которой в результате воздействия обычных средств поражения, здания и сооружения могут получить средние и слабые разрушения со снижением их эксплуатационной пригодности.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Работники организаций, продолжающих работу в зонах возможных опасностей, подлежат рассредоточению.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Рассредоточение</w:t>
      </w:r>
      <w:r>
        <w:rPr>
          <w:sz w:val="28"/>
          <w:szCs w:val="28"/>
          <w:shd w:fill="auto" w:val="clear"/>
        </w:rPr>
        <w:t xml:space="preserve"> - это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</w:t>
      </w:r>
      <w:r>
        <w:rPr>
          <w:b/>
          <w:sz w:val="28"/>
          <w:szCs w:val="28"/>
          <w:shd w:fill="auto" w:val="clear"/>
        </w:rPr>
        <w:t>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Безопасные районы для размещения населения, размещения и хранения материальных и культурных ценностей определяются заблаговременно в мирное время по согласованию с органами исполнительной власти субъектов Российской Федерации, органами местного самоуправления, органами, осуществляющими управление гражданской обороной, и органами военного управления.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отсутствии безопасных районов на территории субъекта Российской Федерации или невозможности размещения всего эвакуируемого населения, материальных и культурных ценностей в имеющихся безопасных районах данного субъекта, размещение эвакуируемого населения, материальных и культурных ценностей осуществляется в безопасных районах предварительно подготовленных на смежных территориях субъектов Российской Федерации по согласованию с ним.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планирования, подготовки и общее руководство проведением эвакуации, а также подготовка безопасных районов для размещения эвакуируемого населения и его жизнеобеспечения, хранения материальных и культурных ценностей в федеральных органах исполнительной власти, органах исполнительной власти субъектов Российской Федерации, органах местного самоуправления и организациях возлагаются на их руководителей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Эвакуации подлежат: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работники расположенных в населенных пунктах организаций, переносящих производственную деятельность в военное время в</w:t>
      </w:r>
      <w:r>
        <w:rPr>
          <w:rFonts w:eastAsia="Calibri"/>
          <w:color w:val="323D4F"/>
          <w:sz w:val="28"/>
          <w:szCs w:val="28"/>
          <w:shd w:fill="auto" w:val="clear"/>
          <w:lang w:eastAsia="en-US"/>
        </w:rPr>
        <w:t xml:space="preserve"> </w:t>
      </w:r>
      <w:r>
        <w:rPr>
          <w:sz w:val="28"/>
          <w:szCs w:val="28"/>
          <w:shd w:fill="auto" w:val="clear"/>
        </w:rPr>
        <w:t>безопасные районы (далее - работники организаций, переносящих производственную деятельность в безопасные районы), а также неработающие члены семей указанных работников;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нетрудоспособное и не занятое в производстве население;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материальные и культурные ценности.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зависимости от масштаба, особенностей возникновения и развития военных действий проводится </w:t>
      </w:r>
      <w:r>
        <w:rPr>
          <w:b/>
          <w:sz w:val="28"/>
          <w:szCs w:val="28"/>
          <w:shd w:fill="auto" w:val="clear"/>
        </w:rPr>
        <w:t>частичная или общая эвакуация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Частичная эвакуация</w:t>
      </w:r>
      <w:r>
        <w:rPr>
          <w:i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проводится без нарушения действующих графиков работы транспорта. При этом эвакуируются нетрудоспособное и не занятое в производстве население (лица, обучающиеся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воспитанники детских домов, ведомственных детских садов, пенсионеры, содержащиеся в домах инвалидов и ветеранов, совместно с обслуживающим персоналом и членами их семей), материальные и культурные ценности, подлежащие первоочередной эвакуации.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Общая эвакуация</w:t>
      </w:r>
      <w:r>
        <w:rPr>
          <w:sz w:val="28"/>
          <w:szCs w:val="28"/>
          <w:shd w:fill="auto" w:val="clear"/>
        </w:rPr>
        <w:t xml:space="preserve"> проводится в отношении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Эвакуация, рассредоточение работников организаций планируются заблаговременно в мирное время и осуществляются по территориально-производственному принципу, в соответствии с которым: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эвакуация работников организаций, переносящих производственную деятельность в безопасные районы, рассредоточение работников организаций, а также эвакуация неработающих членов семей указанных работников организуются и проводятся соответствующими должностными лицами организаций;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эвакуация остального нетрудоспособного и не занятого в производстве населения организуется по месту жительства должностными лицами соответствующих органов местного самоуправления.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планировании эвакуации, рассредоточения работников организаций учитываются производственные и мобилизационные планы, а также миграция населения.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рассредоточении работники организаций, продолжающих производственную деятельность в военное время, а также неработающие члены их семей размещаются в ближайших к данным организациям безопасных районах с учетом наличия внутригородских и загородных путей сообщения, расположенных вблизи железнодорожных, автомобильных и водных путей сообщения.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невозможности совместного размещения члены семей указанных работников размещаются в ближайших к этим районам безопасных районах.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исключительных случаях по решению руководителя органа исполнительной власти субъекта РФ, органа местного самоуправления разрешается размещать рассредоточиваемых работников организаций и население в зонах возможных разрушений вне зон возможных опасностей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Районы размещения работников организаций, переносящих производственную деятельность в</w:t>
      </w:r>
      <w:r>
        <w:rPr>
          <w:rFonts w:eastAsia="Calibri"/>
          <w:color w:val="323D4F"/>
          <w:sz w:val="28"/>
          <w:szCs w:val="28"/>
          <w:shd w:fill="auto" w:val="clear"/>
          <w:lang w:eastAsia="en-US"/>
        </w:rPr>
        <w:t xml:space="preserve"> </w:t>
      </w:r>
      <w:r>
        <w:rPr>
          <w:sz w:val="28"/>
          <w:szCs w:val="28"/>
          <w:shd w:fill="auto" w:val="clear"/>
        </w:rPr>
        <w:t>безопасные районы, а также неработающих членов их семей выделяются за районами размещения рассредоточиваемых работников организаций.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Нетрудоспособное и не занятое в производстве население и лица, не являющиеся членами семей работников организаций, продолжающих производственную деятельность в военное время, размещаются в более отдаленных безопасных районах по сравнению с районами, в которых размещаются работники указанных организаций.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Население, эвакуированное в безопасные районы, размещается в жилых, общественных и административных зданиях независимо от формы собственности и ведомственной принадлежности в соответствии с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законодательством Российской Федерации.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имеющих жилые, общественные и административные здания, расположенные в безопасных районах, размещаются в указанных зданиях с членами семей.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Планирование, подготовка и проведение эвакуации осуществляются во взаимодействии с органами военного управления по вопросам: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использования транспортных коммуникаций и транспортных средств;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выделения сил и средств для совместного регулирования движения на маршрутах эвакуации, обеспечения охраны общественного порядка и сохранности материальных и культурных ценностей;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обеспечения ведения радиационной, химической, биологической, инженерной и противопожарной разведки;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выделения сил и средств для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согласования перечней безопасных районов для размещения населения, мест размещения и хранения материальных и культурных ценностей;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е)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shd w:fill="auto" w:val="clear"/>
        </w:rPr>
        <w:t>Для планирования, подготовки и проведения эвакуации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заблаговременно в мирное время создаются: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эвакуационные комиссии;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сборные эвакуационные пункты;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промежуточные пункты эвакуации;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группы управления на маршрутах пешей эвакуации населения;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эвакоприемные комиссии;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е) приемные эвакуационные пункты;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ж) администрации пунктов посадки (высадки) населения, погрузки (выгрузки) материальных и культурных ценностей на транспорт.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Эвакуационные и эвакоприемные комиссии</w:t>
      </w:r>
      <w:r>
        <w:rPr>
          <w:sz w:val="28"/>
          <w:szCs w:val="28"/>
          <w:shd w:fill="auto" w:val="clear"/>
        </w:rPr>
        <w:t xml:space="preserve"> возглавляются руководителями или заместителями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состав эвакуационных и эвакоприемных комиссий назначаются лица из числа руководящих работников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работники органов, осуществляющих управление гражданской обороной, мобилизационных и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транспортных органов, органов образования, здравоохранения, социального обеспечения, органов внутренних дел, связи, других органов и представители военных комиссариатов, кроме граждан, подлежащих призыву на военную службу по мобилизации.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Основными задачами эвакуационных комиссий являются: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планирование эвакуации на соответствующем уровне;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осуществление контроля за планированием эвакуации в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 xml:space="preserve">подведомственных органах и организациях;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организация и контроль подготовки и проведения эвакуации.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Сборные эвакуационные пункты</w:t>
      </w:r>
      <w:r>
        <w:rPr>
          <w:sz w:val="28"/>
          <w:szCs w:val="28"/>
          <w:shd w:fill="auto" w:val="clear"/>
        </w:rPr>
        <w:t xml:space="preserve"> создаются для сбора и постановки на учет эвакуируемого населения и организованной отправки его в безопасные районы.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Сборный эвакуационный пункт обеспечивается связью с районной эвакуационной комиссией, администрацией пункта посадки, исходного пункта на маршруте пешей эвакуации, эвакоприемными комиссиями, расположенными в безопасных районах, а также автомобильным транспортом.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сборному эвакуационному пункту прикрепляются организации, работники которых с неработающими членами семей, и население, не занятое в производстве, эвакуируются через этот сборный эвакуационный пункт.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сборным эвакуационным пунктом закрепляются: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ближайшие защитные сооружения гражданской обороны;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медицинская организация;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организации жилищно-коммунального хозяйства.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Промежуточные пункты эвакуации</w:t>
      </w:r>
      <w:r>
        <w:rPr>
          <w:sz w:val="28"/>
          <w:szCs w:val="28"/>
          <w:shd w:fill="auto" w:val="clear"/>
        </w:rPr>
        <w:t xml:space="preserve"> создаются в целях: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оборудованных противорадиационными укрытиями и укрытиями;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перерегистрации </w:t>
      </w:r>
      <w:r>
        <w:rPr>
          <w:color w:val="323D4F"/>
          <w:sz w:val="28"/>
          <w:szCs w:val="28"/>
          <w:shd w:fill="auto" w:val="clear"/>
        </w:rPr>
        <w:t>населения</w:t>
      </w:r>
      <w:r>
        <w:rPr>
          <w:sz w:val="28"/>
          <w:szCs w:val="28"/>
          <w:shd w:fill="auto" w:val="clear"/>
        </w:rPr>
        <w:t xml:space="preserve"> и проведения при необходимости дозиметрического и химического контроля, обмена одежды и обуви или их специальной обработки, оказания медицинской помощи, санитарной обработки эвакуированного населения и последующей организованной отправки его в места постоянного размещения в безопасных районах.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Группы управления на маршрутах пешей эвакуации населения</w:t>
      </w:r>
      <w:r>
        <w:rPr>
          <w:sz w:val="28"/>
          <w:szCs w:val="28"/>
          <w:shd w:fill="auto" w:val="clear"/>
        </w:rPr>
        <w:t xml:space="preserve">, возглавляемые начальниками маршрутов, которые назначаются решениями руководителей соответствующих эвакуационных комиссий, осуществляют: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организацию и обеспечение движения пеших колонн на маршруте;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ведение радиационной, химической и инженерной разведки на маршруте;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оказание медицинской помощи в пути следования;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организацию охраны общественного порядка.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Эвакоприемные комиссии</w:t>
      </w:r>
      <w:r>
        <w:rPr>
          <w:sz w:val="28"/>
          <w:szCs w:val="28"/>
          <w:shd w:fill="auto" w:val="clear"/>
        </w:rPr>
        <w:t xml:space="preserve"> создаются в безопасных районах органами местного самоуправления населенных пунктов, на территорию которых планируется эвакуация, в целях: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планирования и осуществления приема, размещения и первоочередного жизнеобеспечения эвакуированного населения;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б) организации и контроля комплектования, качественной подготовки подведомственных эвакоприемных комиссий;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организации и контроля обеспечения эвакуации;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учета и обеспечения хранения материальных и культурных ценностей.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Приемные эвакуационные пункты</w:t>
      </w:r>
      <w:r>
        <w:rPr>
          <w:sz w:val="28"/>
          <w:szCs w:val="28"/>
          <w:shd w:fill="auto" w:val="clear"/>
        </w:rPr>
        <w:t xml:space="preserve"> создаются для организации приема и учета прибывающих пеших колонн, эвакуационных эшелонов (поездов, судов), автоколонн с эвакуированными населением, материальными и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культурными ценностями и последующей их отправки в места постоянного размещения (хранения) в безопасных районах.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приемных эвакуационных пунктах при необходимости оборудуются укрытия для эвакуированных населения, материальных и культурных ценностей, развертывается медицинский пункт.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Администрации пунктов посадки (высадки)</w:t>
      </w:r>
      <w:r>
        <w:rPr>
          <w:sz w:val="28"/>
          <w:szCs w:val="28"/>
          <w:shd w:fill="auto" w:val="clear"/>
        </w:rPr>
        <w:t>, формируемые из руководителей и представителей соответствующих транспортных организаций, создаются в целях: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обеспечения своевременной подачи специально оборудованных для перевозки людей транспортных средств к местам посадки (высадки);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б) организации посадки (высадки) населения на транспортные средства;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организации погрузки (выгрузки) материальных и культурных ценностей, подлежащих эвакуации;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обеспечения своевременной отправки (прибытия) эвакуационных эшелонов (поездов, судов), автоколонн, их учета и информирования соответствующих эвакуационных комиссий.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После завершения плановых мероприятий эвакуационные и эвакоприемные комиссии совместно с органами исполнительной власти субъектов Российской Федерации и территориальными органами федеральных органов исполнительной власти оказывают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Работники эвакуационных и эвакоприемных комиссий, сборных и приемных эвакуационных пунктов, промежуточных пунктов эвакуации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Оповещение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населения о проведении эвакуации проводится органами, осуществляющими управление гражданской обороной, с использованием систем централизованного оповещения и связи федерального, регионального и местного уровней, локальных систем оповещения, радиовещательных и телевизионных станций. 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Эвакуация материальных и культурных ценностей в безопасные районы осуществляется транспортными средствами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ведении которых находятся данные материальные и культурные ценности.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транспортные средства которых не привлекаются для выполнения воинских, других особо важных перевозок по мобилизационным планам, а также для эвакуации населения.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целях эвакуации материальных и культурных ценностей формируются специальные колонны, сопровождаемые сотрудниками органов внутренних дел Российской Федерации и лицами, ответственными за сохранность этих ценностей на маршрутах эвакуации.</w:t>
      </w:r>
    </w:p>
    <w:p>
      <w:pPr>
        <w:pStyle w:val="Normal"/>
        <w:ind w:firstLine="709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К материальным ценностям, подлежащим эвакуации, относятся: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государственные ценности (золотовалютные резервы, банковские активы, ценные бумаги, эталоны измерения, запасы драгоценных камней и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металлов, документы текущего делопроизводства и ведомственные архивы государственных органов и организаций, электронно-вычислительные системы и базы данных);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производственные и научные ценности (особо ценное научное и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производственное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организаций);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запасы продовольствия, медицинское оборудование объектов инфраструктуры в сфере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сельскохозяйственные животные, запасы зерновых культур, семенные и фуражные запасы;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запасы материальных средств для обеспечения проведения аварийно-спасательных и других неотложных работ.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К культурным ценностям, подлежащим эвакуации, относятся: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культурные ценности мирового значения;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российский страховой фонд документов библиотечных фондов;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культурные ценности федерального (общероссийского) значения;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электронные информационные ресурсы на жестких носителях;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культурные ценности, имеющие исключительное значение для культуры народов Российской Федерации.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Особо ценные документы Федерального архивного агентства подлежат укрытию в установленном порядке.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Основанием для отнесения к материальным и культурным ценностям, подлежащим эвакуации, является экспертная оценка, проводимая соответствующими специалистами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Финансирование эвакуации осуществляется в соответствии с законодательством Российской Федерации: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федеральными органами исполнительной власти и подведомственными им бюджетными организациями - за счет средств федерального бюджета;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б) субъектами Российской Федерации и входящими в их состав муниципальными образованиями - за счет средств бюджетов субъектов Российской Федерации и средств местных бюджетов;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организациями - за счет собственных средств.</w:t>
      </w:r>
    </w:p>
    <w:p>
      <w:pPr>
        <w:pStyle w:val="Normal"/>
        <w:tabs>
          <w:tab w:val="clear" w:pos="708"/>
          <w:tab w:val="left" w:pos="102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ListParagraph"/>
        <w:numPr>
          <w:ilvl w:val="0"/>
          <w:numId w:val="11"/>
        </w:numPr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ИСПОЛЬЗОВАНИЕ СРЕДСТВ ИНДИВИДУАЛЬНОЙ ЗАЩИТЫ</w:t>
      </w:r>
    </w:p>
    <w:p>
      <w:pPr>
        <w:pStyle w:val="Normal"/>
        <w:ind w:firstLine="709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>Граждане РФ имеют право на защиту жизни, здоровья и личного имущества в случае возникновения ЧС, а также в соответствии с планами действий по предупреждению и ликвидации ЧС использовать средства индивидуальной защиты и другое имущество органов государственной власти субъектов РФ, органов местного самоуправления и организаций, предназначенное для защиты населения от ЧС.</w:t>
      </w:r>
      <w:r>
        <w:rPr>
          <w:rStyle w:val="FootnoteReference"/>
          <w:rFonts w:eastAsia="Calibri"/>
          <w:sz w:val="28"/>
          <w:szCs w:val="28"/>
          <w:shd w:fill="auto" w:val="clear"/>
          <w:vertAlign w:val="superscript"/>
          <w:lang w:eastAsia="en-US"/>
        </w:rPr>
        <w:footnoteReference w:id="7"/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 Предоставление населению средств индивидуальной защиты регламентировано также и Федеральным законом от 12.02.1998 г. </w:t>
      </w:r>
      <w:r>
        <w:rPr>
          <w:rFonts w:eastAsia="Calibri"/>
          <w:sz w:val="28"/>
          <w:szCs w:val="28"/>
          <w:shd w:fill="auto" w:val="clear"/>
          <w:lang w:val="en-US" w:eastAsia="en-US"/>
        </w:rPr>
        <w:t>N</w:t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 28-ФЗ «О гражданской обороне».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>В общем комплексе защитных мероприятий, направленных на защиту населения и сил РСЧС в условиях воздействия вредных факторов, индивидуальная защита человека занимает большое место и в некоторых случаях представляется единственно возможной, наиболее простой и экономически выгодной.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 xml:space="preserve">К </w:t>
      </w:r>
      <w:r>
        <w:rPr>
          <w:rFonts w:eastAsia="Calibri"/>
          <w:i/>
          <w:sz w:val="28"/>
          <w:szCs w:val="28"/>
          <w:shd w:fill="auto" w:val="clear"/>
          <w:lang w:eastAsia="en-US"/>
        </w:rPr>
        <w:t>средствам индивидуальной защиты органов дыхания</w:t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 (СИЗОД) фильтрующего типа относятся противоаэрозольные, противогазовые и противогазоаэрозольные средства защиты. Они предназначены для защиты органов дыхания от воздействия аэрозолей, паров и газов, от воздействия отравляющих и токсичных АХОВ.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i/>
          <w:color w:val="000000"/>
          <w:sz w:val="28"/>
          <w:szCs w:val="28"/>
          <w:shd w:fill="auto" w:val="clear"/>
          <w:lang w:eastAsia="en-US"/>
        </w:rPr>
        <w:t>Медицинскими средствами индивидуальной защиты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 (МСИЗ) называются химические, химиотерапевтические, биологические препараты и медицинские изделия, предназначенные для предотвращения или ослабления воздействия на отдельного человека поражающих факторов источника ЧС и используемые либо самостоятельно, либо в порядке взаимопомощи.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en-US"/>
        </w:rPr>
        <w:t xml:space="preserve">В настоящее время обеспечение населения и личного состава спасательных формирований медицинскими средствами индивидуальной защиты осуществляется </w:t>
      </w:r>
      <w:r>
        <w:rPr>
          <w:color w:val="000000"/>
          <w:sz w:val="28"/>
          <w:szCs w:val="28"/>
          <w:shd w:fill="auto" w:val="clear"/>
          <w:lang w:eastAsia="en-US"/>
        </w:rPr>
        <w:t xml:space="preserve">в соответствии с </w:t>
      </w:r>
      <w:r>
        <w:rPr>
          <w:sz w:val="28"/>
          <w:szCs w:val="28"/>
          <w:shd w:fill="auto" w:val="clear"/>
          <w:lang w:eastAsia="en-US"/>
        </w:rPr>
        <w:t xml:space="preserve">приказом </w:t>
      </w:r>
      <w:r>
        <w:rPr>
          <w:bCs/>
          <w:sz w:val="28"/>
          <w:szCs w:val="28"/>
          <w:shd w:fill="auto" w:val="clear"/>
          <w:lang w:eastAsia="en-US"/>
        </w:rPr>
        <w:t xml:space="preserve">МЧС России </w:t>
      </w:r>
      <w:r>
        <w:rPr>
          <w:sz w:val="28"/>
          <w:szCs w:val="28"/>
          <w:shd w:fill="auto" w:val="clear"/>
          <w:lang w:eastAsia="en-US"/>
        </w:rPr>
        <w:t>от 30.06.2014</w:t>
      </w:r>
      <w:r>
        <w:rPr>
          <w:shd w:fill="auto" w:val="clear"/>
        </w:rPr>
        <w:t xml:space="preserve"> </w:t>
      </w:r>
      <w:r>
        <w:rPr>
          <w:sz w:val="28"/>
          <w:szCs w:val="28"/>
          <w:shd w:fill="auto" w:val="clear"/>
          <w:lang w:eastAsia="en-US"/>
        </w:rPr>
        <w:t xml:space="preserve">г. </w:t>
      </w:r>
      <w:r>
        <w:rPr>
          <w:bCs/>
          <w:sz w:val="28"/>
          <w:szCs w:val="28"/>
          <w:shd w:fill="auto" w:val="clear"/>
          <w:lang w:val="en-US" w:eastAsia="en-US"/>
        </w:rPr>
        <w:t>N</w:t>
      </w:r>
      <w:r>
        <w:rPr>
          <w:bCs/>
          <w:sz w:val="28"/>
          <w:szCs w:val="28"/>
          <w:shd w:fill="auto" w:val="clear"/>
          <w:lang w:eastAsia="en-US"/>
        </w:rPr>
        <w:t xml:space="preserve"> 331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color w:val="000000"/>
          <w:sz w:val="28"/>
          <w:szCs w:val="28"/>
          <w:shd w:fill="auto" w:val="clear"/>
          <w:lang w:eastAsia="en-US"/>
        </w:rPr>
        <w:t xml:space="preserve">«О внесении изменений в «Порядок создания НАСФ», утвержденный приказом МЧС России от 23.12.2005 г. </w:t>
      </w:r>
      <w:r>
        <w:rPr>
          <w:color w:val="000000"/>
          <w:sz w:val="28"/>
          <w:szCs w:val="28"/>
          <w:shd w:fill="auto" w:val="clear"/>
          <w:lang w:val="en-US" w:eastAsia="en-US"/>
        </w:rPr>
        <w:t>N</w:t>
      </w:r>
      <w:r>
        <w:rPr>
          <w:color w:val="000000"/>
          <w:sz w:val="28"/>
          <w:szCs w:val="28"/>
          <w:shd w:fill="auto" w:val="clear"/>
          <w:lang w:eastAsia="en-US"/>
        </w:rPr>
        <w:t xml:space="preserve"> 999.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Cs/>
          <w:color w:val="000000"/>
          <w:sz w:val="28"/>
          <w:szCs w:val="28"/>
          <w:shd w:fill="auto" w:val="clear"/>
          <w:lang w:eastAsia="en-US"/>
        </w:rPr>
        <w:t>В перечень МСИЗ включены: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Cs/>
          <w:color w:val="000000"/>
          <w:sz w:val="28"/>
          <w:szCs w:val="28"/>
          <w:shd w:fill="auto" w:val="clear"/>
          <w:lang w:eastAsia="en-US"/>
        </w:rPr>
        <w:t>индивидуальный противохимический пакет – ИПП-11;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Cs/>
          <w:color w:val="000000"/>
          <w:sz w:val="28"/>
          <w:szCs w:val="28"/>
          <w:shd w:fill="auto" w:val="clear"/>
          <w:lang w:eastAsia="en-US"/>
        </w:rPr>
        <w:t>комплект индивидуальный медицинский гражданской защиты – КИМГЗ;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pacing w:val="-4"/>
          <w:sz w:val="28"/>
          <w:szCs w:val="28"/>
          <w:shd w:fill="auto" w:val="clear"/>
          <w:lang w:eastAsia="en-US"/>
        </w:rPr>
        <w:t>комплект индивидуальный противоожоговый (с перевязочным пакетом) – КИП.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Cs/>
          <w:i/>
          <w:color w:val="000000"/>
          <w:spacing w:val="-4"/>
          <w:sz w:val="28"/>
          <w:szCs w:val="28"/>
          <w:shd w:fill="auto" w:val="clear"/>
          <w:lang w:eastAsia="en-US"/>
        </w:rPr>
        <w:t xml:space="preserve">Индивидуальный противохимический пакет </w:t>
      </w:r>
      <w:r>
        <w:rPr>
          <w:rFonts w:eastAsia="Calibri"/>
          <w:bCs/>
          <w:color w:val="000000"/>
          <w:spacing w:val="-4"/>
          <w:sz w:val="28"/>
          <w:szCs w:val="28"/>
          <w:shd w:fill="auto" w:val="clear"/>
          <w:lang w:eastAsia="en-US"/>
        </w:rPr>
        <w:t>(</w:t>
      </w:r>
      <w:r>
        <w:rPr>
          <w:rFonts w:eastAsia="Calibri"/>
          <w:i/>
          <w:color w:val="000000"/>
          <w:spacing w:val="-4"/>
          <w:sz w:val="28"/>
          <w:szCs w:val="28"/>
          <w:shd w:fill="auto" w:val="clear"/>
          <w:lang w:eastAsia="en-US"/>
        </w:rPr>
        <w:t>ИПП-11</w:t>
      </w:r>
      <w:r>
        <w:rPr>
          <w:rFonts w:eastAsia="Calibri"/>
          <w:color w:val="000000"/>
          <w:spacing w:val="-4"/>
          <w:sz w:val="28"/>
          <w:szCs w:val="28"/>
          <w:shd w:fill="auto" w:val="clear"/>
          <w:lang w:eastAsia="en-US"/>
        </w:rPr>
        <w:t xml:space="preserve">) содержит дегазирующую рецептуру, предназначенную для обработки открытых кожных покровов, зараженных опасными химическими веществами. 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Cs/>
          <w:i/>
          <w:color w:val="000000"/>
          <w:sz w:val="28"/>
          <w:szCs w:val="28"/>
          <w:shd w:fill="auto" w:val="clear"/>
          <w:lang w:eastAsia="en-US"/>
        </w:rPr>
        <w:t xml:space="preserve">Комплект индивидуальный медицинский гражданской защиты </w:t>
      </w:r>
      <w:r>
        <w:rPr>
          <w:rFonts w:eastAsia="Calibri"/>
          <w:bCs/>
          <w:color w:val="000000"/>
          <w:sz w:val="28"/>
          <w:szCs w:val="28"/>
          <w:shd w:fill="auto" w:val="clear"/>
          <w:lang w:eastAsia="en-US"/>
        </w:rPr>
        <w:t>(</w:t>
      </w:r>
      <w:r>
        <w:rPr>
          <w:rFonts w:eastAsia="Calibri"/>
          <w:bCs/>
          <w:i/>
          <w:color w:val="000000"/>
          <w:sz w:val="28"/>
          <w:szCs w:val="28"/>
          <w:shd w:fill="auto" w:val="clear"/>
          <w:lang w:eastAsia="en-US"/>
        </w:rPr>
        <w:t>КИМГЗ</w:t>
      </w:r>
      <w:r>
        <w:rPr>
          <w:rFonts w:eastAsia="Calibri"/>
          <w:bCs/>
          <w:color w:val="000000"/>
          <w:sz w:val="28"/>
          <w:szCs w:val="28"/>
          <w:shd w:fill="auto" w:val="clear"/>
          <w:lang w:eastAsia="en-US"/>
        </w:rPr>
        <w:t xml:space="preserve">)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соответствии с приказом Министерства Здравоохранения РФ от 28.10.2020 г.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1164н утверждены требования к</w:t>
      </w:r>
      <w:r>
        <w:rPr>
          <w:i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помощи и первой помощи, которым обеспечивается: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личный состав сил ГО, работники особо радиационно опасных и ядерно опасных производств и объектов в области использования атомной энергии и население в целях самостоятельного выполнения ими назначений медицинских работников по профилактике поражений в мирное и военное время,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личный состав формирований в целях выполнения ими мероприятий по оказанию первой помощи пострадавшим.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Применение лекарственных препаратов, входящих в состав КИМГЗ, осуществляется только по назначению медицинских работников.</w:t>
      </w:r>
      <w:r>
        <w:rPr>
          <w:rStyle w:val="FootnoteReference"/>
          <w:sz w:val="28"/>
          <w:szCs w:val="28"/>
          <w:shd w:fill="auto" w:val="clear"/>
          <w:vertAlign w:val="superscript"/>
        </w:rPr>
        <w:footnoteReference w:id="8"/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Изделие может быть использовано для оказания доврачебной помощи не имеющими специальных медицинских знаний пользователями, при отсутствии квалифицированной медицинской помощи, для оказания само- и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взаимопомощи при чрезвычайных ситуациях природного и техногенного характера.</w:t>
      </w:r>
    </w:p>
    <w:p>
      <w:pPr>
        <w:pStyle w:val="Normal"/>
        <w:widowControl w:val="false"/>
        <w:ind w:firstLine="709"/>
        <w:jc w:val="both"/>
        <w:rPr>
          <w:rFonts w:eastAsia="Calibri"/>
          <w:color w:val="000000"/>
          <w:spacing w:val="-6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/>
          <w:color w:val="000000"/>
          <w:spacing w:val="-6"/>
          <w:sz w:val="28"/>
          <w:szCs w:val="28"/>
          <w:shd w:fill="auto" w:val="clear"/>
          <w:lang w:eastAsia="en-US"/>
        </w:rPr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i/>
          <w:color w:val="000000"/>
          <w:sz w:val="28"/>
          <w:szCs w:val="28"/>
          <w:shd w:fill="auto" w:val="clear"/>
          <w:lang w:eastAsia="en-US"/>
        </w:rPr>
        <w:t xml:space="preserve">Комплект индивидуальный противоожоговый 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(</w:t>
      </w:r>
      <w:r>
        <w:rPr>
          <w:rFonts w:eastAsia="Calibri"/>
          <w:i/>
          <w:color w:val="000000"/>
          <w:sz w:val="28"/>
          <w:szCs w:val="28"/>
          <w:shd w:fill="auto" w:val="clear"/>
          <w:lang w:eastAsia="en-US"/>
        </w:rPr>
        <w:t>с перевязочным пакетом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) </w:t>
      </w:r>
      <w:r>
        <w:rPr>
          <w:rFonts w:eastAsia="Calibri"/>
          <w:i/>
          <w:color w:val="000000"/>
          <w:sz w:val="28"/>
          <w:szCs w:val="28"/>
          <w:shd w:fill="auto" w:val="clear"/>
          <w:lang w:eastAsia="en-US"/>
        </w:rPr>
        <w:t>– (КИП)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 предназначается для оказания первой помощи пострадавшим с термическими, химическими и радиационными ожогами.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Обеспечение населения СИЗ</w:t>
      </w:r>
      <w:r>
        <w:rPr>
          <w:rStyle w:val="FootnoteReference"/>
          <w:color w:val="000000"/>
          <w:sz w:val="28"/>
          <w:szCs w:val="28"/>
          <w:shd w:fill="auto" w:val="clear"/>
          <w:vertAlign w:val="superscript"/>
        </w:rPr>
        <w:footnoteReference w:id="9"/>
      </w:r>
      <w:r>
        <w:rPr>
          <w:color w:val="000000"/>
          <w:sz w:val="28"/>
          <w:szCs w:val="28"/>
          <w:shd w:fill="auto" w:val="clear"/>
        </w:rPr>
        <w:t xml:space="preserve">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для защиты населения при возникновении чрезвычайных ситуаций </w:t>
      </w:r>
      <w:r>
        <w:rPr>
          <w:sz w:val="28"/>
          <w:szCs w:val="28"/>
          <w:shd w:fill="auto" w:val="clear"/>
        </w:rPr>
        <w:t>(рисунок 2.3.1).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  <mc:AlternateContent>
          <mc:Choice Requires="wpg">
            <w:drawing>
              <wp:anchor behindDoc="0" distT="10160" distB="9525" distL="9525" distR="9525" simplePos="0" locked="0" layoutInCell="0" allowOverlap="1" relativeHeight="23" wp14:anchorId="40934DC8">
                <wp:simplePos x="0" y="0"/>
                <wp:positionH relativeFrom="margin">
                  <wp:posOffset>126365</wp:posOffset>
                </wp:positionH>
                <wp:positionV relativeFrom="paragraph">
                  <wp:posOffset>-48895</wp:posOffset>
                </wp:positionV>
                <wp:extent cx="5791200" cy="5017135"/>
                <wp:effectExtent l="9525" t="10160" r="9525" b="9525"/>
                <wp:wrapNone/>
                <wp:docPr id="1" name="Группа 1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320" cy="5016960"/>
                          <a:chOff x="0" y="0"/>
                          <a:chExt cx="5791320" cy="5016960"/>
                        </a:xfrm>
                      </wpg:grpSpPr>
                      <wps:wsp>
                        <wps:cNvPr id="2" name="Надпись 1"/>
                        <wps:cNvSpPr/>
                        <wps:spPr>
                          <a:xfrm>
                            <a:off x="0" y="0"/>
                            <a:ext cx="5791320" cy="508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Обеспечению СИЗ подлежит население, проживающее и (или) работающее на территориях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Стрелка вниз 2"/>
                        <wps:cNvSpPr/>
                        <wps:spPr>
                          <a:xfrm>
                            <a:off x="548640" y="552600"/>
                            <a:ext cx="4801320" cy="34383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deebf7"/>
                          </a:solidFill>
                          <a:ln w="2857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Надпись 3"/>
                        <wps:cNvSpPr/>
                        <wps:spPr>
                          <a:xfrm>
                            <a:off x="313560" y="828720"/>
                            <a:ext cx="2596680" cy="85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В пределах границ зон защитных</w:t>
                              </w:r>
                              <w:r>
                                <w:rPr>
                                  <w:rFonts w:cs="Arial" w:ascii="Arial" w:hAnsi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мероприятий, устанавливаемых вокруг комплекса объектов по хранению и уничтожению химического оружия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" name="Надпись 4"/>
                        <wps:cNvSpPr/>
                        <wps:spPr>
                          <a:xfrm>
                            <a:off x="3033360" y="828720"/>
                            <a:ext cx="2659320" cy="85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В пределах границ зон возможного радиоактивного и химического загрязнения (заражения), устанавливаемых вокруг радиационно-,  ядерно- и химически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опасных объектов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Стрелка вниз 5"/>
                        <wps:cNvSpPr/>
                        <wps:spPr>
                          <a:xfrm>
                            <a:off x="685800" y="3187080"/>
                            <a:ext cx="641520" cy="2325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deebf7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19800" y="685800"/>
                            <a:ext cx="5742360" cy="110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Надпись 8"/>
                        <wps:cNvSpPr/>
                        <wps:spPr>
                          <a:xfrm>
                            <a:off x="833040" y="1876320"/>
                            <a:ext cx="4389840" cy="28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Обеспечение населения СИЗ осуществляется: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Надпись 9"/>
                        <wps:cNvSpPr/>
                        <wps:spPr>
                          <a:xfrm>
                            <a:off x="205920" y="2428920"/>
                            <a:ext cx="1601640" cy="72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Федеральными органами исполнительной власти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" name="Надпись 10"/>
                        <wps:cNvSpPr/>
                        <wps:spPr>
                          <a:xfrm>
                            <a:off x="2067480" y="2428920"/>
                            <a:ext cx="1802880" cy="72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Органами государственной власти субъектов Российской Федерации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Надпись 11"/>
                        <wps:cNvSpPr/>
                        <wps:spPr>
                          <a:xfrm>
                            <a:off x="4111560" y="2448000"/>
                            <a:ext cx="15037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Организациями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2" name="Стрелка вниз 12"/>
                        <wps:cNvSpPr/>
                        <wps:spPr>
                          <a:xfrm>
                            <a:off x="2684880" y="3187080"/>
                            <a:ext cx="646920" cy="2325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deebf7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Стрелка вниз 13"/>
                        <wps:cNvSpPr/>
                        <wps:spPr>
                          <a:xfrm>
                            <a:off x="4572000" y="3148920"/>
                            <a:ext cx="641520" cy="23256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deebf7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Надпись 14"/>
                        <wps:cNvSpPr/>
                        <wps:spPr>
                          <a:xfrm>
                            <a:off x="205920" y="3424680"/>
                            <a:ext cx="1581840" cy="70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работников этих органов и организаций, находящихся в их ведении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5" name="Надпись 15"/>
                        <wps:cNvSpPr/>
                        <wps:spPr>
                          <a:xfrm>
                            <a:off x="1930320" y="3443760"/>
                            <a:ext cx="2058120" cy="157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границ, указанных зон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6" name="Надпись 16"/>
                        <wps:cNvSpPr/>
                        <wps:spPr>
                          <a:xfrm>
                            <a:off x="4140720" y="3405600"/>
                            <a:ext cx="1444680" cy="72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работников этих организаций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79" style="position:absolute;margin-left:9.95pt;margin-top:-3.85pt;width:456pt;height:395.05pt" coordorigin="199,-77" coordsize="9120,7901">
                <v:rect id="shape_0" ID="Надпись 1" path="m0,0l-2147483645,0l-2147483645,-2147483646l0,-2147483646xe" fillcolor="white" stroked="t" o:allowincell="f" style="position:absolute;left:199;top:-77;width:9119;height:800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Обеспечению СИЗ подлежит население, проживающее и (или) работающее на территориях</w:t>
                        </w:r>
                      </w:p>
                    </w:txbxContent>
                  </v:textbox>
                  <w10:wrap type="none"/>
                </v:rect>
                <v:shapetype id="_x0000_t67" coordsize="21600,21600" o:spt="67" adj="10800,10800" path="m0@3l@5@3l@5,l@6,l@6@3l21600@3l10800,21600xe">
                  <v:stroke joinstyle="miter"/>
                  <v:formulas>
                    <v:f eqn="val 21600"/>
                    <v:f eqn="val #1"/>
                    <v:f eqn="val #0"/>
                    <v:f eqn="sum height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@5,0,@6,@8"/>
                  <v:handles>
                    <v:h position="@5,0"/>
                    <v:h position="0,@3"/>
                  </v:handles>
                </v:shapetype>
                <v:shape id="shape_0" ID="Стрелка вниз 2" path="l-2147483631,-2147483635l-2147483631,0l-2147483629,0l-2147483629,-2147483635l-2147483622,-2147483635l-2147483632,-2147483623xe" fillcolor="#deebf7" stroked="t" o:allowincell="f" style="position:absolute;left:1063;top:793;width:7560;height:5414;mso-wrap-style:none;v-text-anchor:middle;mso-position-horizontal-relative:margin" type="_x0000_t67">
                  <v:fill o:detectmouseclick="t" type="solid" color2="#211408"/>
                  <v:stroke color="black" weight="28440" joinstyle="miter" endcap="flat"/>
                  <w10:wrap type="none"/>
                </v:shape>
                <v:rect id="shape_0" ID="Надпись 3" path="m0,0l-2147483645,0l-2147483645,-2147483646l0,-2147483646xe" fillcolor="white" stroked="t" o:allowincell="f" style="position:absolute;left:693;top:1228;width:4088;height:1340;mso-wrap-style:square;v-text-anchor:top;mso-position-horizontal-relative:margin">
                  <v:fill o:detectmouseclick="t" type="solid" color2="black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 пределах границ зон защитных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мероприятий, устанавливаемых вокруг комплекса объектов по хранению и уничтожению химического оружия</w:t>
                        </w:r>
                      </w:p>
                    </w:txbxContent>
                  </v:textbox>
                  <w10:wrap type="none"/>
                </v:rect>
                <v:rect id="shape_0" ID="Надпись 4" path="m0,0l-2147483645,0l-2147483645,-2147483646l0,-2147483646xe" fillcolor="white" stroked="t" o:allowincell="f" style="position:absolute;left:4976;top:1228;width:4187;height:1340;mso-wrap-style:square;v-text-anchor:top;mso-position-horizontal-relative:margin">
                  <v:fill o:detectmouseclick="t" type="solid" color2="black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 пределах границ зон возможного радиоактивного и химического загрязнения (заражения), устанавливаемых вокруг радиационно-,  ядерно- и химически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опасных объектов</w:t>
                        </w:r>
                      </w:p>
                    </w:txbxContent>
                  </v:textbox>
                  <w10:wrap type="none"/>
                </v:rect>
                <v:shape id="shape_0" ID="Стрелка вниз 5" path="l-2147483631,-2147483635l-2147483631,0l-2147483629,0l-2147483629,-2147483635l-2147483622,-2147483635l-2147483632,-2147483623xe" fillcolor="#deebf7" stroked="t" o:allowincell="f" style="position:absolute;left:1279;top:4942;width:1009;height:365;mso-wrap-style:none;v-text-anchor:middle;mso-position-horizontal-relative:margin" type="_x0000_t67">
                  <v:fill o:detectmouseclick="t" type="solid" color2="#211408"/>
                  <v:stroke color="black" weight="19080" joinstyle="miter" endcap="flat"/>
                  <w10:wrap type="none"/>
                </v:shape>
                <v:rect id="shape_0" ID="Надпись 8" path="m0,0l-2147483645,0l-2147483645,-2147483646l0,-2147483646xe" fillcolor="white" stroked="t" o:allowincell="f" style="position:absolute;left:1511;top:2878;width:6912;height:440;mso-wrap-style:square;v-text-anchor:top;mso-position-horizontal-relative:margin">
                  <v:fill o:detectmouseclick="t" type="solid" color2="black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Обеспечение населения СИЗ осуществляется:</w:t>
                        </w:r>
                      </w:p>
                    </w:txbxContent>
                  </v:textbox>
                  <w10:wrap type="none"/>
                </v:rect>
                <v:rect id="shape_0" ID="Надпись 9" path="m0,0l-2147483645,0l-2147483645,-2147483646l0,-2147483646xe" fillcolor="white" stroked="t" o:allowincell="f" style="position:absolute;left:523;top:3748;width:2521;height:1139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Федеральными органами исполнительной власти</w:t>
                        </w:r>
                      </w:p>
                    </w:txbxContent>
                  </v:textbox>
                  <w10:wrap type="none"/>
                </v:rect>
                <v:rect id="shape_0" ID="Надпись 10" path="m0,0l-2147483645,0l-2147483645,-2147483646l0,-2147483646xe" fillcolor="white" stroked="t" o:allowincell="f" style="position:absolute;left:3455;top:3748;width:2838;height:1139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Органами государственной власти субъектов Российской Федерации</w:t>
                        </w:r>
                      </w:p>
                    </w:txbxContent>
                  </v:textbox>
                  <w10:wrap type="none"/>
                </v:rect>
                <v:rect id="shape_0" ID="Надпись 11" path="m0,0l-2147483645,0l-2147483645,-2147483646l0,-2147483646xe" fillcolor="white" stroked="t" o:allowincell="f" style="position:absolute;left:6674;top:3778;width:2367;height:1079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Организациями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 id="shape_0" ID="Стрелка вниз 12" path="l-2147483631,-2147483635l-2147483631,0l-2147483629,0l-2147483629,-2147483635l-2147483622,-2147483635l-2147483632,-2147483623xe" fillcolor="#deebf7" stroked="t" o:allowincell="f" style="position:absolute;left:4427;top:4942;width:1018;height:365;mso-wrap-style:none;v-text-anchor:middle;mso-position-horizontal-relative:margin" type="_x0000_t67">
                  <v:fill o:detectmouseclick="t" type="solid" color2="#211408"/>
                  <v:stroke color="black" weight="19080" joinstyle="miter" endcap="flat"/>
                  <w10:wrap type="none"/>
                </v:shape>
                <v:shape id="shape_0" ID="Стрелка вниз 13" path="l-2147483631,-2147483635l-2147483631,0l-2147483629,0l-2147483629,-2147483635l-2147483622,-2147483635l-2147483632,-2147483623xe" fillcolor="#deebf7" stroked="t" o:allowincell="f" style="position:absolute;left:7399;top:4882;width:1009;height:365;mso-wrap-style:none;v-text-anchor:middle;mso-position-horizontal-relative:margin" type="_x0000_t67">
                  <v:fill o:detectmouseclick="t" type="solid" color2="#211408"/>
                  <v:stroke color="black" weight="19080" joinstyle="miter" endcap="flat"/>
                  <w10:wrap type="none"/>
                </v:shape>
                <v:rect id="shape_0" ID="Надпись 14" path="m0,0l-2147483645,0l-2147483645,-2147483646l0,-2147483646xe" fillcolor="white" stroked="t" o:allowincell="f" style="position:absolute;left:523;top:5316;width:2490;height:1104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работников этих органов и организаций, находящихся в их ведении</w:t>
                        </w:r>
                      </w:p>
                    </w:txbxContent>
                  </v:textbox>
                  <w10:wrap type="none"/>
                </v:rect>
                <v:rect id="shape_0" ID="Надпись 15" path="m0,0l-2147483645,0l-2147483645,-2147483646l0,-2147483646xe" fillcolor="white" stroked="t" o:allowincell="f" style="position:absolute;left:3239;top:5346;width:3240;height:2477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границ, указанных зон</w:t>
                        </w:r>
                      </w:p>
                    </w:txbxContent>
                  </v:textbox>
                  <w10:wrap type="none"/>
                </v:rect>
                <v:rect id="shape_0" ID="Надпись 16" path="m0,0l-2147483645,0l-2147483645,-2147483646l0,-2147483646xe" fillcolor="white" stroked="t" o:allowincell="f" style="position:absolute;left:6720;top:5286;width:2274;height:1134;mso-wrap-style:square;v-text-anchor:top;mso-position-horizontal-relative:margin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работников этих организаций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center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center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 w:before="12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Рисунок 2.3.1 – </w:t>
      </w:r>
      <w:r>
        <w:rPr>
          <w:sz w:val="28"/>
          <w:szCs w:val="28"/>
          <w:shd w:fill="auto" w:val="clear"/>
        </w:rPr>
        <w:t>Порядок обеспечения населения СИЗ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Накопление запасов (резервов) </w:t>
      </w:r>
      <w:r>
        <w:rPr>
          <w:spacing w:val="-2"/>
          <w:sz w:val="28"/>
          <w:szCs w:val="28"/>
          <w:shd w:fill="auto" w:val="clear"/>
        </w:rPr>
        <w:t xml:space="preserve">СИЗ осуществляется заблаговременно в мирное время </w:t>
      </w:r>
      <w:r>
        <w:rPr>
          <w:color w:val="000000"/>
          <w:spacing w:val="-2"/>
          <w:sz w:val="28"/>
          <w:szCs w:val="28"/>
          <w:shd w:fill="auto" w:val="clear"/>
        </w:rPr>
        <w:t xml:space="preserve">федеральными органами исполнительной власти, органами исполнительной власти субъектов Российской Федерации и организациями с учётом факторов риска возникновения чрезвычайных ситуаций техногенного характера, представляющих непосредственную угрозу жизни и здоровью </w:t>
      </w:r>
      <w:r>
        <w:rPr>
          <w:spacing w:val="-2"/>
          <w:sz w:val="28"/>
          <w:szCs w:val="28"/>
          <w:shd w:fill="auto" w:val="clear"/>
        </w:rPr>
        <w:t>населения (рисунок 2.3.2).</w:t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color w:val="000000"/>
          <w:sz w:val="18"/>
          <w:szCs w:val="18"/>
          <w:shd w:fill="auto" w:val="clear"/>
        </w:rPr>
        <w:t>НАКОПЛЕНИЕ ЗАПАСОВ (РЕЗЕРВОВ) СИЗ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pacing w:val="-2"/>
          <w:sz w:val="28"/>
          <w:szCs w:val="28"/>
          <w:highlight w:val="none"/>
          <w:shd w:fill="auto" w:val="clear"/>
        </w:rPr>
      </w:pPr>
      <w:r>
        <w:rPr>
          <w:spacing w:val="-2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column">
                  <wp:posOffset>730885</wp:posOffset>
                </wp:positionH>
                <wp:positionV relativeFrom="paragraph">
                  <wp:posOffset>-6985</wp:posOffset>
                </wp:positionV>
                <wp:extent cx="2305685" cy="763905"/>
                <wp:effectExtent l="10160" t="10160" r="8890" b="8890"/>
                <wp:wrapSquare wrapText="bothSides"/>
                <wp:docPr id="17" name="Надпись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7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28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для работников организаций и населения, проживающего и (или) работающего на территориях в пределах границ зон возможного химического заражения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9" path="m0,0l-2147483645,0l-2147483645,-2147483646l0,-2147483646xe" fillcolor="white" stroked="t" o:allowincell="f" style="position:absolute;margin-left:57.55pt;margin-top:-0.55pt;width:181.5pt;height:60.1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rmal"/>
                        <w:spacing w:lineRule="auto" w:line="228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для работников организаций и населения, проживающего и (или) работающего на территориях в пределах границ зон возможного химического заражения</w:t>
                      </w:r>
                    </w:p>
                    <w:p>
                      <w:pPr>
                        <w:pStyle w:val="Normal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4">
                <wp:simplePos x="0" y="0"/>
                <wp:positionH relativeFrom="column">
                  <wp:posOffset>3299460</wp:posOffset>
                </wp:positionH>
                <wp:positionV relativeFrom="paragraph">
                  <wp:posOffset>-6985</wp:posOffset>
                </wp:positionV>
                <wp:extent cx="2868930" cy="763905"/>
                <wp:effectExtent l="9525" t="10160" r="9525" b="8890"/>
                <wp:wrapSquare wrapText="bothSides"/>
                <wp:docPr id="18" name="Надпись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840" cy="7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28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СИЗ органов дыхания от аварийно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1" path="m0,0l-2147483645,0l-2147483645,-2147483646l0,-2147483646xe" fillcolor="white" stroked="t" o:allowincell="f" style="position:absolute;margin-left:259.8pt;margin-top:-0.55pt;width:225.85pt;height:60.1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rmal"/>
                        <w:spacing w:lineRule="auto" w:line="228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СИЗ органов дыхания от аварийно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3070860</wp:posOffset>
                </wp:positionH>
                <wp:positionV relativeFrom="paragraph">
                  <wp:posOffset>290830</wp:posOffset>
                </wp:positionV>
                <wp:extent cx="226695" cy="300355"/>
                <wp:effectExtent l="6985" t="19685" r="8255" b="19050"/>
                <wp:wrapSquare wrapText="bothSides"/>
                <wp:docPr id="19" name="Стрелка вправо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3002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Стрелка вправо 97" path="l-2147483635,-2147483631l-2147483635,0l-2147483622,-2147483632l-2147483635,-2147483623l-2147483635,-2147483629l0,-2147483629xe" fillcolor="#e7e6e6" stroked="t" o:allowincell="f" style="position:absolute;margin-left:241.8pt;margin-top:22.9pt;width:17.8pt;height:23.6pt;mso-wrap-style:none;v-text-anchor:middle" type="_x0000_t13">
                <v:fill o:detectmouseclick="t" type="solid" color2="#181919"/>
                <v:stroke color="black" weight="1260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730885</wp:posOffset>
                </wp:positionH>
                <wp:positionV relativeFrom="paragraph">
                  <wp:posOffset>850265</wp:posOffset>
                </wp:positionV>
                <wp:extent cx="2305685" cy="741680"/>
                <wp:effectExtent l="10160" t="9525" r="8890" b="9525"/>
                <wp:wrapSquare wrapText="bothSides"/>
                <wp:docPr id="20" name="Надпись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28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3" path="m0,0l-2147483645,0l-2147483645,-2147483646l0,-2147483646xe" fillcolor="white" stroked="t" o:allowincell="f" style="position:absolute;margin-left:57.55pt;margin-top:66.95pt;width:181.5pt;height:58.3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rmal"/>
                        <w:spacing w:lineRule="auto" w:line="228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3299460</wp:posOffset>
                </wp:positionH>
                <wp:positionV relativeFrom="paragraph">
                  <wp:posOffset>850265</wp:posOffset>
                </wp:positionV>
                <wp:extent cx="2868930" cy="610235"/>
                <wp:effectExtent l="9525" t="10160" r="9525" b="8890"/>
                <wp:wrapSquare wrapText="bothSides"/>
                <wp:docPr id="21" name="Надпись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840" cy="6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респираторы из расчета на 100% их общей численности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4" path="m0,0l-2147483645,0l-2147483645,-2147483646l0,-2147483646xe" fillcolor="white" stroked="t" o:allowincell="f" style="position:absolute;margin-left:259.8pt;margin-top:66.95pt;width:225.85pt;height:48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респираторы из расчета на 100% их общей численности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3070860</wp:posOffset>
                </wp:positionH>
                <wp:positionV relativeFrom="paragraph">
                  <wp:posOffset>1027430</wp:posOffset>
                </wp:positionV>
                <wp:extent cx="226695" cy="300990"/>
                <wp:effectExtent l="7620" t="19050" r="8255" b="19685"/>
                <wp:wrapSquare wrapText="bothSides"/>
                <wp:docPr id="22" name="Стрелка вправо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3009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100" path="l-2147483635,-2147483631l-2147483635,0l-2147483622,-2147483632l-2147483635,-2147483623l-2147483635,-2147483629l0,-2147483629xe" fillcolor="#e7e6e6" stroked="t" o:allowincell="f" style="position:absolute;margin-left:241.8pt;margin-top:80.9pt;width:17.8pt;height:23.65pt;mso-wrap-style:none;v-text-anchor:middle" type="_x0000_t13">
                <v:fill o:detectmouseclick="t" type="solid" color2="#181919"/>
                <v:stroke color="black" weight="12600" joinstyle="miter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730885</wp:posOffset>
                </wp:positionH>
                <wp:positionV relativeFrom="paragraph">
                  <wp:posOffset>1691640</wp:posOffset>
                </wp:positionV>
                <wp:extent cx="2305685" cy="600710"/>
                <wp:effectExtent l="10160" t="9525" r="8890" b="9525"/>
                <wp:wrapSquare wrapText="bothSides"/>
                <wp:docPr id="23" name="Надпись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60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для работников организаций и населения, проживающего и (или) работающего на территориях в пределах границ установленных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зон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7" path="m0,0l-2147483645,0l-2147483645,-2147483646l0,-2147483646xe" fillcolor="white" stroked="t" o:allowincell="f" style="position:absolute;margin-left:57.55pt;margin-top:133.2pt;width:181.5pt;height:47.2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rmal"/>
                        <w:spacing w:lineRule="auto" w:line="2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для работников организаций и населения, проживающего и (или) работающего на территориях в пределах границ установленных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зон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3266440</wp:posOffset>
                </wp:positionH>
                <wp:positionV relativeFrom="paragraph">
                  <wp:posOffset>1691005</wp:posOffset>
                </wp:positionV>
                <wp:extent cx="2891155" cy="601345"/>
                <wp:effectExtent l="10160" t="10160" r="8890" b="8890"/>
                <wp:wrapSquare wrapText="bothSides"/>
                <wp:docPr id="24" name="Надпись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60" cy="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28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2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медицинские средства индивидуальной защиты из расчета на 30% от их общей численности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9" path="m0,0l-2147483645,0l-2147483645,-2147483646l0,-2147483646xe" fillcolor="white" stroked="t" o:allowincell="f" style="position:absolute;margin-left:257.2pt;margin-top:133.15pt;width:227.6pt;height:47.3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rmal"/>
                        <w:spacing w:lineRule="auto" w:line="228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spacing w:lineRule="auto" w:line="228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медицинские средства индивидуальной защиты из расчета на 30% от их общей численности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6">
                <wp:simplePos x="0" y="0"/>
                <wp:positionH relativeFrom="column">
                  <wp:posOffset>3038475</wp:posOffset>
                </wp:positionH>
                <wp:positionV relativeFrom="paragraph">
                  <wp:posOffset>1922780</wp:posOffset>
                </wp:positionV>
                <wp:extent cx="226695" cy="299720"/>
                <wp:effectExtent l="6985" t="19050" r="8255" b="19685"/>
                <wp:wrapSquare wrapText="bothSides"/>
                <wp:docPr id="25" name="Стрелка вправо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2998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105" path="l-2147483635,-2147483631l-2147483635,0l-2147483622,-2147483632l-2147483635,-2147483623l-2147483635,-2147483629l0,-2147483629xe" fillcolor="#e7e6e6" stroked="t" o:allowincell="f" style="position:absolute;margin-left:239.25pt;margin-top:151.4pt;width:17.8pt;height:23.55pt;mso-wrap-style:none;v-text-anchor:middle" type="_x0000_t13">
                <v:fill o:detectmouseclick="t" type="solid" color2="#181919"/>
                <v:stroke color="black" weight="12600" joinstyle="miter" endcap="flat"/>
                <w10:wrap type="square"/>
              </v:shape>
            </w:pict>
          </mc:Fallback>
        </mc:AlternateContent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64"/>
        <w:ind w:firstLine="709"/>
        <w:jc w:val="both"/>
        <w:rPr>
          <w:color w:val="000000"/>
          <w:spacing w:val="-2"/>
          <w:sz w:val="26"/>
          <w:szCs w:val="26"/>
          <w:highlight w:val="none"/>
          <w:shd w:fill="auto" w:val="clear"/>
        </w:rPr>
      </w:pPr>
      <w:r>
        <w:rPr>
          <w:color w:val="000000"/>
          <w:spacing w:val="-2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Рисунок 2.3.2 - Накопление запасов (резервов) СИЗ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Организационно-методическое руководство за накоплением, хранением и использованием запасов (резервов) СИЗ, создаваемых федеральными органами исполнительной власти, органами государственной власти субъектов Российской Федерации и организациями в соответствии с </w:t>
      </w:r>
      <w:r>
        <w:rPr>
          <w:sz w:val="28"/>
          <w:szCs w:val="28"/>
          <w:shd w:fill="auto" w:val="clear"/>
        </w:rPr>
        <w:t xml:space="preserve">постановлениями Правительства Российской Федерации от </w:t>
      </w:r>
      <w:r>
        <w:rPr>
          <w:color w:val="000000"/>
          <w:sz w:val="28"/>
          <w:szCs w:val="28"/>
          <w:shd w:fill="auto" w:val="clear"/>
        </w:rPr>
        <w:t xml:space="preserve">27.04.2000 г. </w:t>
      </w:r>
      <w:r>
        <w:rPr>
          <w:color w:val="000000"/>
          <w:sz w:val="28"/>
          <w:szCs w:val="28"/>
          <w:shd w:fill="auto" w:val="clear"/>
          <w:lang w:val="en-US"/>
        </w:rPr>
        <w:t>N</w:t>
      </w:r>
      <w:r>
        <w:rPr>
          <w:color w:val="000000"/>
          <w:sz w:val="28"/>
          <w:szCs w:val="28"/>
          <w:shd w:fill="auto" w:val="clear"/>
        </w:rPr>
        <w:t xml:space="preserve"> 379</w:t>
      </w:r>
      <w:r>
        <w:rPr>
          <w:b/>
          <w:i/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«О накоплении, хранении и использовании в целях гражданской обороны запасов материально-</w:t>
      </w:r>
      <w:r>
        <w:rPr>
          <w:color w:val="000000"/>
          <w:spacing w:val="-4"/>
          <w:sz w:val="28"/>
          <w:szCs w:val="28"/>
          <w:shd w:fill="auto" w:val="clear"/>
        </w:rPr>
        <w:t xml:space="preserve">технических, продовольственных, медицинских и иных средств», </w:t>
      </w:r>
      <w:r>
        <w:rPr>
          <w:color w:val="000000"/>
          <w:sz w:val="28"/>
          <w:szCs w:val="28"/>
          <w:shd w:fill="auto" w:val="clear"/>
        </w:rPr>
        <w:t>осуществляется МЧС России.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Федеральные органы исполнительной власти, органы государственной власти субъектов Российской Федерации и организации определяют номенклатуру, объёмы СИЗ в запасах (резервах), создают (накапливают) и содержат их в соответствии с постановлением Правительства Российской Федерации от 27.04.2000 г. </w:t>
      </w:r>
      <w:r>
        <w:rPr>
          <w:color w:val="000000"/>
          <w:sz w:val="28"/>
          <w:szCs w:val="28"/>
          <w:shd w:fill="auto" w:val="clear"/>
          <w:lang w:val="en-US"/>
        </w:rPr>
        <w:t>N</w:t>
      </w:r>
      <w:r>
        <w:rPr>
          <w:color w:val="000000"/>
          <w:sz w:val="28"/>
          <w:szCs w:val="28"/>
          <w:shd w:fill="auto" w:val="clear"/>
        </w:rPr>
        <w:t xml:space="preserve"> 379</w:t>
      </w:r>
      <w:r>
        <w:rPr>
          <w:b/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Органы государственной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установленных зон.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Исправные фильтрующие противогазы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ядерно опасных объектов.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Номенклатура и объем создаваемых запасов определяются создающими их органами, организациями исходя из: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величины вероятного ущерба объектам экономики и инфраструктуры от чрезвычайных ситуаций природного и техногенного характера;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потребности в запасах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муниципальных образований;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норм минимально необходимой достаточности запасов;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природных, социально-экономических, физико-географических и иных особенностей территорий.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 этом должно учитываться и планируемое к эвакуации на данную территорию (безопасный район) население из другого региона (регионов).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Выбор конкретной марки (модели) средств индивидуальной защиты органов дыхания для создания запасов осуществляется по результатам прогнозирования </w:t>
      </w:r>
      <w:r>
        <w:rPr>
          <w:sz w:val="28"/>
          <w:szCs w:val="28"/>
          <w:shd w:fill="auto" w:val="clear"/>
        </w:rPr>
        <w:t xml:space="preserve">поражающих факторов, возникающих при военных конфликтах, или вследствие этих </w:t>
      </w:r>
      <w:r>
        <w:rPr>
          <w:color w:val="000000"/>
          <w:sz w:val="28"/>
          <w:szCs w:val="28"/>
          <w:shd w:fill="auto" w:val="clear"/>
        </w:rPr>
        <w:t>конфликтов и чрезвычайных ситуациях, развивающихся по наиболее опасным сценариям.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 этом СИЗ должны быть сертифицированы и гарантированно исключать риск поражения человека в течение времени, необходимого для проведения первоочередных (эвакуационных) мероприятий и по возможности быть универсальными по назначению и защитным свойствам (время защитного действия при различных концентрациях радиоактивных, опасных химических веществ и биологических средств, эргономических свойств, массогабаритных характеристик, показателей надёжности и т.д.).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По решению руководителя организации хранение средств радиационной и химической защиты может быть организовано как в специализированных складских помещениях (складах, хранилищах), так и в специализированных местах хранения (р</w:t>
      </w:r>
      <w:r>
        <w:rPr>
          <w:sz w:val="28"/>
          <w:szCs w:val="28"/>
          <w:shd w:fill="auto" w:val="clear"/>
        </w:rPr>
        <w:t>исунок 2.3.3</w:t>
      </w:r>
      <w:r>
        <w:rPr>
          <w:color w:val="000000"/>
          <w:sz w:val="28"/>
          <w:szCs w:val="28"/>
          <w:shd w:fill="auto" w:val="clear"/>
        </w:rPr>
        <w:t>)</w:t>
      </w:r>
      <w:r>
        <w:rPr>
          <w:rStyle w:val="FootnoteReference"/>
          <w:rFonts w:eastAsia="Calibri"/>
          <w:color w:val="000000"/>
          <w:sz w:val="28"/>
          <w:szCs w:val="28"/>
          <w:shd w:fill="auto" w:val="clear"/>
          <w:vertAlign w:val="superscript"/>
        </w:rPr>
        <w:footnoteReference w:id="10"/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mc:AlternateContent>
          <mc:Choice Requires="wpg">
            <w:drawing>
              <wp:anchor behindDoc="0" distT="10795" distB="9525" distL="10160" distR="10160" simplePos="0" locked="0" layoutInCell="1" allowOverlap="1" relativeHeight="17" wp14:anchorId="42E62AAF">
                <wp:simplePos x="0" y="0"/>
                <wp:positionH relativeFrom="column">
                  <wp:posOffset>27305</wp:posOffset>
                </wp:positionH>
                <wp:positionV relativeFrom="paragraph">
                  <wp:posOffset>6350</wp:posOffset>
                </wp:positionV>
                <wp:extent cx="6838950" cy="2551430"/>
                <wp:effectExtent l="10160" t="10795" r="10160" b="9525"/>
                <wp:wrapNone/>
                <wp:docPr id="26" name="Группа 1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20" cy="2551320"/>
                          <a:chOff x="0" y="0"/>
                          <a:chExt cx="6838920" cy="2551320"/>
                        </a:xfrm>
                      </wpg:grpSpPr>
                      <wps:wsp>
                        <wps:cNvPr id="27" name="Скругленный прямоугольник 107"/>
                        <wps:cNvSpPr/>
                        <wps:spPr>
                          <a:xfrm>
                            <a:off x="0" y="0"/>
                            <a:ext cx="6838920" cy="513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Надпись 33"/>
                        <wps:cNvSpPr/>
                        <wps:spPr>
                          <a:xfrm>
                            <a:off x="156960" y="62280"/>
                            <a:ext cx="6604560" cy="39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Приказ МЧС России от 27.05.2003 г.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9" name="Надпись 34"/>
                        <wps:cNvSpPr/>
                        <wps:spPr>
                          <a:xfrm>
                            <a:off x="496080" y="638640"/>
                            <a:ext cx="5925960" cy="34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Требования к специализированным складским помещениям  (местам хранения)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0" name="Надпись 35"/>
                        <wps:cNvSpPr/>
                        <wps:spPr>
                          <a:xfrm>
                            <a:off x="0" y="1182240"/>
                            <a:ext cx="2108880" cy="136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28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При отсутствии собственных специализированных складских помещений (мест хранения) запасов (резервов) СИЗ у ФОИВ и организаций допускается хранение СИЗ в спец. складских помещениях (местах хранения) других организаций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1" name="Надпись 36"/>
                        <wps:cNvSpPr/>
                        <wps:spPr>
                          <a:xfrm>
                            <a:off x="2271240" y="1182960"/>
                            <a:ext cx="2165400" cy="136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Специализированные складские помещения (места хранения) и выдачи запасов (резервов) СИЗ, должны быть максимально приближены к местам работы и проживания населения с целью гарантированного обеспечения его защиты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2" name="Надпись 37"/>
                        <wps:cNvSpPr/>
                        <wps:spPr>
                          <a:xfrm>
                            <a:off x="4625280" y="1186920"/>
                            <a:ext cx="2213640" cy="1364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По решению руководителей органов исполнительной власти субъектов РФ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3" name="Штриховая стрелка вправо 113"/>
                        <wps:cNvSpPr/>
                        <wps:spPr>
                          <a:xfrm rot="5400000">
                            <a:off x="1064160" y="864000"/>
                            <a:ext cx="182160" cy="438840"/>
                          </a:xfrm>
                          <a:prstGeom prst="strip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e7e6e6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Штриховая стрелка вправо 114"/>
                        <wps:cNvSpPr/>
                        <wps:spPr>
                          <a:xfrm rot="5400000">
                            <a:off x="3233520" y="865080"/>
                            <a:ext cx="161280" cy="464040"/>
                          </a:xfrm>
                          <a:prstGeom prst="strip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e7e6e6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Штриховая стрелка вправо 115"/>
                        <wps:cNvSpPr/>
                        <wps:spPr>
                          <a:xfrm rot="5400000">
                            <a:off x="5687280" y="864360"/>
                            <a:ext cx="160560" cy="462240"/>
                          </a:xfrm>
                          <a:prstGeom prst="striped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e7e6e6"/>
                          </a:solidFill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55" style="position:absolute;margin-left:2.15pt;margin-top:0.5pt;width:538.5pt;height:200.95pt" coordorigin="43,10" coordsize="10770,4019">
                <v:rect id="shape_0" ID="Надпись 33" path="m0,0l-2147483645,0l-2147483645,-2147483646l0,-2147483646xe" fillcolor="white" stroked="f" o:allowincell="f" style="position:absolute;left:290;top:108;width:10400;height:625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Приказ МЧС России от 27.05.2003 г.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</w:t>
                        </w:r>
                      </w:p>
                    </w:txbxContent>
                  </v:textbox>
                  <w10:wrap type="none"/>
                </v:rect>
                <v:rect id="shape_0" ID="Надпись 34" path="m0,0l-2147483645,0l-2147483645,-2147483646l0,-2147483646xe" fillcolor="white" stroked="t" o:allowincell="f" style="position:absolute;left:824;top:1016;width:9331;height:548;mso-wrap-style:square;v-text-anchor:top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Требования к специализированным складским помещениям  (местам хранения)</w:t>
                        </w:r>
                      </w:p>
                    </w:txbxContent>
                  </v:textbox>
                  <w10:wrap type="none"/>
                </v:rect>
                <v:rect id="shape_0" ID="Надпись 35" path="m0,0l-2147483645,0l-2147483645,-2147483646l0,-2147483646xe" fillcolor="white" stroked="t" o:allowincell="f" style="position:absolute;left:43;top:1872;width:3320;height:2155;mso-wrap-style:square;v-text-anchor:top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spacing w:lineRule="auto" w:line="228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При отсутствии собственных специализированных складских помещений (мест хранения) запасов (резервов) СИЗ у ФОИВ и организаций допускается хранение СИЗ в спец. складских помещениях (местах хранения) других организаций</w:t>
                        </w:r>
                      </w:p>
                    </w:txbxContent>
                  </v:textbox>
                  <w10:wrap type="none"/>
                </v:rect>
                <v:rect id="shape_0" ID="Надпись 36" path="m0,0l-2147483645,0l-2147483645,-2147483646l0,-2147483646xe" fillcolor="white" stroked="t" o:allowincell="f" style="position:absolute;left:3620;top:1873;width:3409;height:2154;mso-wrap-style:square;v-text-anchor:top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Специализированные складские помещения (места хранения) и выдачи запасов (резервов) СИЗ, должны быть максимально приближены к местам работы и проживания населения с целью гарантированного обеспечения его защиты</w:t>
                        </w:r>
                      </w:p>
                    </w:txbxContent>
                  </v:textbox>
                  <w10:wrap type="none"/>
                </v:rect>
                <v:rect id="shape_0" ID="Надпись 37" path="m0,0l-2147483645,0l-2147483645,-2147483646l0,-2147483646xe" fillcolor="white" stroked="t" o:allowincell="f" style="position:absolute;left:7327;top:1879;width:3485;height:2148;mso-wrap-style:square;v-text-anchor:top">
                  <v:fill o:detectmouseclick="t" type="solid" color2="black"/>
                  <v:stroke color="black" weight="19080" joinstyle="miter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По решению руководителей органов исполнительной власти субъектов РФ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</w:t>
                        </w:r>
                      </w:p>
                    </w:txbxContent>
                  </v:textbox>
                  <w10:wrap type="none"/>
                </v:rect>
                <v:shapetype id="_x0000_t93" coordsize="21600,21600" o:spt="93" adj="10800,10800" path="m0@6l675@6l675@7l0@7xm1350@6l2700@6l2700@7l1350@7xm@3@6l@4@6l@4,l21600,10800l@4,21600l@4@7l@3@7xe">
                  <v:stroke joinstyle="miter"/>
                  <v:formulas>
                    <v:f eqn="val 18225"/>
                    <v:f eqn="val #1"/>
                    <v:f eqn="val #0"/>
                    <v:f eqn="prod 21600 5 32"/>
                    <v:f eqn="sum width 0 @2"/>
                    <v:f eqn="prod 1 @1 2"/>
                    <v:f eqn="sum 10800 0 @5"/>
                    <v:f eqn="sum 10800 @5 0"/>
                    <v:f eqn="prod @5 @2 10800"/>
                    <v:f eqn="sum width 0 @8"/>
                  </v:formulas>
                  <v:path gradientshapeok="t" o:connecttype="rect" textboxrect="@3,@6,@9,@7"/>
                  <v:handles>
                    <v:h position="0,@6"/>
                    <v:h position="@4,0"/>
                  </v:handles>
                </v:shapetype>
                <v:shape id="shape_0" ID="Штриховая стрелка вправо 113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e7e6e6" stroked="t" o:allowincell="f" style="position:absolute;left:1719;top:1372;width:286;height:690;mso-wrap-style:none;v-text-anchor:middle;rotation:90" type="_x0000_t93">
                  <v:fill o:detectmouseclick="t" type="solid" color2="#181919"/>
                  <v:stroke color="black" weight="19080" joinstyle="miter" endcap="flat"/>
                  <w10:wrap type="none"/>
                </v:shape>
                <v:shape id="shape_0" ID="Штриховая стрелка вправо 114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e7e6e6" stroked="t" o:allowincell="f" style="position:absolute;left:5135;top:1373;width:253;height:730;mso-wrap-style:none;v-text-anchor:middle;rotation:90" type="_x0000_t93">
                  <v:fill o:detectmouseclick="t" type="solid" color2="#181919"/>
                  <v:stroke color="black" weight="19080" joinstyle="miter" endcap="flat"/>
                  <w10:wrap type="none"/>
                </v:shape>
                <v:shape id="shape_0" ID="Штриховая стрелка вправо 115" path="l-2147483619,-2147483629l-2147483619,-2147483627l0,-2147483627xl-2147483615,-2147483629l-2147483615,-2147483627l-2147483617,-2147483627xl-2147483633,-2147483629l-2147483633,0l-2147483621,-2147483630l-2147483633,-2147483622l-2147483633,-2147483627l-2147483636,-2147483627xe" fillcolor="#e7e6e6" stroked="t" o:allowincell="f" style="position:absolute;left:8999;top:1372;width:252;height:727;mso-wrap-style:none;v-text-anchor:middle;rotation:90" type="_x0000_t93">
                  <v:fill o:detectmouseclick="t" type="solid" color2="#181919"/>
                  <v:stroke color="black" weight="19080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  <w:sz w:val="26"/>
          <w:szCs w:val="26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52"/>
        <w:ind w:firstLine="709"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widowControl w:val="false"/>
        <w:shd w:val="clear" w:color="auto" w:fill="FFFFFF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Рисунок 2.3.3 - Требования к специализированным складским помещениям (местам хранения)</w:t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Выдача СИЗ из запасов (резервов) федеральных органов исполнительной власти, органов государственной власти субъектов Российской Федерации и</w:t>
      </w:r>
      <w:r>
        <w:rPr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</w:rPr>
        <w:t>организаций для обеспечения защиты населения осуществляется на пунктах выдачи СИЗ по решению соответствующих руководителей органов и</w:t>
      </w:r>
      <w:r>
        <w:rPr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</w:rPr>
        <w:t xml:space="preserve">организаций с последующим сообщением в территориальные органы МЧС России об изменении объёмов накопления в запасах (резервах) СИЗ.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Пункты выдачи СИЗ могут создаваться как иные объекты, определенные постановлением Правительства РФ от 29.11.1999 г. </w:t>
      </w:r>
      <w:r>
        <w:rPr>
          <w:color w:val="000000"/>
          <w:sz w:val="28"/>
          <w:szCs w:val="28"/>
          <w:shd w:fill="auto" w:val="clear"/>
          <w:lang w:val="en-US"/>
        </w:rPr>
        <w:t>N</w:t>
      </w:r>
      <w:r>
        <w:rPr>
          <w:color w:val="000000"/>
          <w:sz w:val="28"/>
          <w:szCs w:val="28"/>
          <w:shd w:fill="auto" w:val="clear"/>
        </w:rPr>
        <w:t xml:space="preserve"> 1309 «О порядке создания убежищ и иных объектов ГО», с назначением необходимого количества личного состава из спасательных команд (групп), в соответствии с приказом МЧС России от 18.12.2014 г. </w:t>
      </w:r>
      <w:r>
        <w:rPr>
          <w:color w:val="000000"/>
          <w:sz w:val="28"/>
          <w:szCs w:val="28"/>
          <w:shd w:fill="auto" w:val="clear"/>
          <w:lang w:val="en-US"/>
        </w:rPr>
        <w:t>N</w:t>
      </w:r>
      <w:r>
        <w:rPr>
          <w:color w:val="000000"/>
          <w:sz w:val="28"/>
          <w:szCs w:val="28"/>
          <w:shd w:fill="auto" w:val="clear"/>
        </w:rPr>
        <w:t xml:space="preserve">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СИЗ, выданные населению на ответственное хранение, используются населением самостоятельно при получении сигналов оповещения ГО и об угрозе возникновения или при возникновении ЧС.</w:t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ListParagraph"/>
        <w:numPr>
          <w:ilvl w:val="0"/>
          <w:numId w:val="11"/>
        </w:numPr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ПРОВЕДЕНИЕ АВАРИЙНО-СПАСАТЕЛЬНЫХ И ДРУГИХ НЕОТЛОЖНЫХ РАБОТ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Среди комплекса мероприятий защиты население особое место, как по сложности, так и по временному фактору, занимают аварийно-спасательные и другие неотложные работы (АСДНР).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Ликвидация чрезвычайных ситуаций</w:t>
      </w:r>
      <w:r>
        <w:rPr>
          <w:color w:val="000000"/>
          <w:sz w:val="28"/>
          <w:szCs w:val="28"/>
          <w:shd w:fill="auto" w:val="clear"/>
        </w:rPr>
        <w:t xml:space="preserve">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</w:t>
      </w:r>
      <w:r>
        <w:rPr>
          <w:rStyle w:val="FootnoteReference"/>
          <w:color w:val="000000"/>
          <w:sz w:val="28"/>
          <w:szCs w:val="28"/>
          <w:shd w:fill="auto" w:val="clear"/>
        </w:rPr>
        <w:footnoteReference w:id="11"/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АСДНР проводятся с целью срочного оказания помощи населению, которое подверглось непосредственному или косвенному воздействию поражающих факторов современных средств поражения, разрушительных и вредоносных сил природы, техногенных аварий и катастроф, а также для ограничения масштабов, локализации или ликвидации чрезвычайных ситуаций и очагов поражения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Определение  аварийно-спасательным (АСР) и неотложным работам (НР) дает </w:t>
      </w:r>
      <w:r>
        <w:rPr>
          <w:bCs/>
          <w:sz w:val="28"/>
          <w:szCs w:val="28"/>
          <w:shd w:fill="auto" w:val="clear"/>
        </w:rPr>
        <w:t xml:space="preserve">Федеральный закон  от 22.08.1995 г. </w:t>
      </w:r>
      <w:r>
        <w:rPr>
          <w:bCs/>
          <w:sz w:val="28"/>
          <w:szCs w:val="28"/>
          <w:shd w:fill="auto" w:val="clear"/>
          <w:lang w:val="en-US"/>
        </w:rPr>
        <w:t>N</w:t>
      </w:r>
      <w:r>
        <w:rPr>
          <w:bCs/>
          <w:sz w:val="28"/>
          <w:szCs w:val="28"/>
          <w:shd w:fill="auto" w:val="clear"/>
        </w:rPr>
        <w:t xml:space="preserve"> 151-ФЗ. «Об аварийно-спасательных службах и статусе спасателей»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Аварийно-спасательные работы</w:t>
      </w:r>
      <w:r>
        <w:rPr>
          <w:sz w:val="28"/>
          <w:szCs w:val="28"/>
          <w:shd w:fill="auto" w:val="clear"/>
        </w:rPr>
        <w:t xml:space="preserve"> (АСР) – </w:t>
      </w:r>
      <w:r>
        <w:rPr>
          <w:color w:val="000000"/>
          <w:sz w:val="28"/>
          <w:szCs w:val="28"/>
          <w:shd w:fill="auto" w:val="clear"/>
        </w:rPr>
        <w:t xml:space="preserve">аварийно-спасательные работы -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 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 Такой характер условий проведения аварийно-спасательных работ предъявляет особые требования к силам, привлекаемым к их проведению.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Неотложные работы</w:t>
      </w:r>
      <w:r>
        <w:rPr>
          <w:sz w:val="28"/>
          <w:szCs w:val="28"/>
          <w:shd w:fill="auto" w:val="clear"/>
        </w:rPr>
        <w:t xml:space="preserve"> – это деятельность по всестороннему обеспечению аварийно-спасательных работ, оказанию пострадавшему населению медицинской и других видов помощи, созданию условий, минимально необходимых для сохранения жизни и здоровья людей, поддержания их работоспособности</w:t>
      </w:r>
      <w:r>
        <w:rPr>
          <w:rStyle w:val="FootnoteReference"/>
          <w:sz w:val="28"/>
          <w:szCs w:val="28"/>
          <w:shd w:fill="auto" w:val="clear"/>
        </w:rPr>
        <w:footnoteReference w:id="12"/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18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АСДНР как вид мероприятия по защите населения проводятся в очагах поражения и зонах ЧС. При этом под очагом поражения понимается ограниченная территория, в пределах которой в результате воздействия современных средств поражения произошли массовая гибель или поражение людей, уничтожение сельскохозяйственных животных и растений, значительно разрушены и повреждены здания и сооружения, а также элементы окружающей природной среды. Зона ЧС – это территория, на которой сложилась ЧС.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8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К аварийно – спасательным работам</w:t>
      </w:r>
      <w:r>
        <w:rPr>
          <w:sz w:val="28"/>
          <w:szCs w:val="28"/>
          <w:shd w:fill="auto" w:val="clear"/>
        </w:rPr>
        <w:t xml:space="preserve"> относятся</w:t>
      </w:r>
      <w:r>
        <w:rPr>
          <w:rStyle w:val="FootnoteReference"/>
          <w:sz w:val="28"/>
          <w:szCs w:val="28"/>
          <w:shd w:fill="auto" w:val="clear"/>
        </w:rPr>
        <w:footnoteReference w:id="13"/>
      </w:r>
      <w:r>
        <w:rPr>
          <w:sz w:val="28"/>
          <w:szCs w:val="28"/>
          <w:shd w:fill="auto" w:val="clear"/>
        </w:rPr>
        <w:t>: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горноспасательные работы - действия, направленные на спасение людей, материальных и культурных ценностей, защиту природной среды в зоне чрезвычайных ситуаций, локализацию аварий и подавление или доведение до минимально возможного уровня воздействия последствий взрывов взрывчатых материалов и (или) рудничных газов, пожаров, загазований, обвалов, выбросов горной массы, затоплений и других видов аварий в горных выработках на объектах ведения горных работ, за исключением объектов, предназначенных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</w:t>
      </w:r>
      <w:r>
        <w:rPr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</w:rPr>
        <w:t>произведенной из него продукции;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16" w:name="dst100298"/>
      <w:bookmarkEnd w:id="16"/>
      <w:r>
        <w:rPr>
          <w:color w:val="000000"/>
          <w:sz w:val="28"/>
          <w:szCs w:val="28"/>
          <w:shd w:fill="auto" w:val="clear"/>
        </w:rPr>
        <w:t>газоспасательные работы - действия, направленные на спасение людей, материальных и культурных ценностей, защиту природной среды,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токсичных, и (или) пожароопасных, и (или) взрывоопасных веществ. К газоспасательным работам не относятся работы, отнесенные к</w:t>
      </w:r>
      <w:r>
        <w:rPr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</w:rPr>
        <w:t>аварийно-спасательным работам, связанным с тушением пожаров, и</w:t>
      </w:r>
      <w:r>
        <w:rPr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</w:rPr>
        <w:t>горноспасательным работам;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17" w:name="dst100299"/>
      <w:bookmarkStart w:id="18" w:name="dst63"/>
      <w:bookmarkEnd w:id="17"/>
      <w:bookmarkEnd w:id="18"/>
      <w:r>
        <w:rPr>
          <w:color w:val="000000"/>
          <w:sz w:val="28"/>
          <w:szCs w:val="28"/>
          <w:shd w:fill="auto" w:val="clear"/>
        </w:rPr>
        <w:t>противофонтанные работы - действия, направленные на спасение людей, материальных и культурных ценностей, защиту природной среды, предупреждение и ликвидацию газонефтеводопроявлений, неуправляемого истечения пластовых флюидов (открытых фонтанов) и грифонообразования на объектах, предназначенных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продукции;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19" w:name="dst100300"/>
      <w:bookmarkEnd w:id="19"/>
      <w:r>
        <w:rPr>
          <w:color w:val="000000"/>
          <w:sz w:val="28"/>
          <w:szCs w:val="28"/>
          <w:shd w:fill="auto" w:val="clear"/>
        </w:rPr>
        <w:t>поисково-спасательные работы - действия, направленные на поиск и спасение людей, материальных и культурных ценностей, подавление или доведение до минимально возможного уровня воздействия последствий чрезвычайных ситуаций на территориях, в акваториях и на транспорте;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20" w:name="dst100301"/>
      <w:bookmarkEnd w:id="20"/>
      <w:r>
        <w:rPr>
          <w:color w:val="000000"/>
          <w:sz w:val="28"/>
          <w:szCs w:val="28"/>
          <w:shd w:fill="auto" w:val="clear"/>
        </w:rPr>
        <w:t>аварийно-спасательные работы, связанные с тушением пожаров, - действия, направленные на поиск и спасение людей, материальных и</w:t>
      </w:r>
      <w:r>
        <w:rPr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</w:rPr>
        <w:t>культурных ценностей, защиту природной среды при тушении пожаров на объектах и территориях, за исключением пожаров в горных выработках на объектах ведения горных работ;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21" w:name="dst100302"/>
      <w:bookmarkEnd w:id="21"/>
      <w:r>
        <w:rPr>
          <w:color w:val="000000"/>
          <w:sz w:val="28"/>
          <w:szCs w:val="28"/>
          <w:shd w:fill="auto" w:val="clear"/>
        </w:rPr>
        <w:t>работы по ликвидации медико-санитарных последствий чрезвычайных ситуаций - комплекс лечебно-эвакуационных, санитарно-противоэпидемических (профилактических) и медицинских мероприятий в зоне чрезвычайной ситуации, направленных на защиту населения, производственно-технического персонала организаций, а также личного состава аварийно-спасательных служб, аварийно-спасательных формирований.</w:t>
      </w:r>
    </w:p>
    <w:p>
      <w:pPr>
        <w:pStyle w:val="Normal"/>
        <w:tabs>
          <w:tab w:val="clear" w:pos="708"/>
          <w:tab w:val="left" w:pos="180" w:leader="none"/>
          <w:tab w:val="left" w:pos="993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80" w:leader="none"/>
        </w:tabs>
        <w:ind w:left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К неотложным работам</w:t>
      </w:r>
      <w:r>
        <w:rPr>
          <w:sz w:val="28"/>
          <w:szCs w:val="28"/>
          <w:shd w:fill="auto" w:val="clear"/>
        </w:rPr>
        <w:t xml:space="preserve"> относятся: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прокладывание колонных путей и устройство проездов (проходов) в</w:t>
      </w:r>
      <w:r>
        <w:rPr>
          <w:shd w:fill="auto" w:val="clear"/>
        </w:rPr>
        <w:t> </w:t>
      </w:r>
      <w:r>
        <w:rPr>
          <w:sz w:val="28"/>
          <w:szCs w:val="28"/>
          <w:shd w:fill="auto" w:val="clear"/>
        </w:rPr>
        <w:t>завалах и на зараженных участках;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локализация аварий на газовых, энергетических, водопроводных, канализационных и технологических сетях в целях создания безопасных условий для проведения спасательных работ;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обнаружение, обезвреживание и уничтожение невзорвавшихся   боеприпасов в обычном снаряжении и других взрывоопасных предметов;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ремонт и восстановление поврежденных защитных сооружений;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санитарная очистка территории;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80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первоочередное жизнеобеспечение пострадавшего населения.</w:t>
      </w:r>
    </w:p>
    <w:p>
      <w:pPr>
        <w:pStyle w:val="Normal"/>
        <w:tabs>
          <w:tab w:val="clear" w:pos="708"/>
          <w:tab w:val="left" w:pos="18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8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Полный перечень АСДНР утверждает Правительство РФ.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Проведение АСДНР – сложный, многоплановый вид защитного мероприятия, характеризующийся высокой динамичностью, привлечением широкого круга должностных лиц и специалистов, разнообразных по предназначению высоко подготовленных сил, готовых и способных выполнять поставленные задачи непрерывно, днем и ночью, в любую погоду до полного достижения поставленных целей.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Мероприятия защиты населения являются составной частью предупредительных мер и мер по ликвидации ЧС и, следовательно, выполняются как в превентивном (предупредительном), так и оперативном порядке с учетом возможных опасностей и угроз.</w:t>
      </w:r>
      <w:r>
        <w:br w:type="page"/>
      </w:r>
    </w:p>
    <w:p>
      <w:pPr>
        <w:pStyle w:val="Normal"/>
        <w:spacing w:before="0" w:after="0"/>
        <w:ind w:firstLine="709"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ЗАКЛЮЧЕНИЕ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Проведенные в полном объеме мероприятия по защите населения позволят сохранить жизнь и здоровье людей, максимально снизить материальные потери.</w:t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СПИСОК ИСПОЛЬЗУЕМЫХ ИСТОЧНИКОВ</w:t>
      </w:r>
    </w:p>
    <w:p>
      <w:pPr>
        <w:pStyle w:val="Normal"/>
        <w:jc w:val="both"/>
        <w:rPr>
          <w:rFonts w:eastAsia="Calibri"/>
          <w:sz w:val="28"/>
          <w:szCs w:val="22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2"/>
          <w:shd w:fill="auto" w:val="clear"/>
          <w:lang w:eastAsia="en-US"/>
        </w:rPr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гражданской обороне: Федеральный закон от 12 февраля 1998 г., </w:t>
        <w:br/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28-ФЗ.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защите населения и территорий от ЧС природного и техногенного характера: Федеральный закон от 21 декабря 1994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68-ФЗ.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аварийно-спасательных службах и статусе спасателей: Федеральный закон  от 22 августа 1995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151-ФЗ.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порядке создания убежищ и иных объектов ГО: Постановление Правительства РФ от 29 ноября 1999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1309.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240" w:before="0" w:after="0"/>
        <w:ind w:hanging="283" w:left="680" w:right="0"/>
        <w:jc w:val="both"/>
        <w:rPr/>
      </w:pPr>
      <w:r>
        <w:rPr>
          <w:rStyle w:val="Style21"/>
          <w:rFonts w:eastAsia="Calibri"/>
          <w:sz w:val="28"/>
          <w:szCs w:val="28"/>
          <w:shd w:fill="auto" w:val="clear"/>
          <w:lang w:eastAsia="en-US"/>
        </w:rPr>
        <w:t>О порядке эвакуации населения, материальных и культурных ценностей в безопасные районы: Постановление Правительства РФ от 30 ноября 2023 г. N 2056 ДСП.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 гражданской обороне в Российской Федерации: Постановление Правительства РФ от 26 ноября 2007 г., </w:t>
        <w:br/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804.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об организации обеспечения населения средствами индивидуальной защиты: Приказ МЧС России </w:t>
        <w:br/>
        <w:t xml:space="preserve">от 1 октября 2014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543. 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правил использования и содержания средств индивидуальной защиты, приборов радиационной, химической разведки и контроля: Приказ МЧС России  от 27 мая 2003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285. 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и введении в действие правил эксплуатации защитных сооружений гражданской обороны: Приказ МЧС России </w:t>
        <w:br/>
        <w:t xml:space="preserve">от 15 декабря 2002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583.</w:t>
      </w:r>
    </w:p>
    <w:p>
      <w:pPr>
        <w:pStyle w:val="Normal"/>
        <w:numPr>
          <w:ilvl w:val="0"/>
          <w:numId w:val="7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Гражданская оборона. Инженерно-техническое оборудование защитных сооружений ГО. Общие технические требования: ГОСТ Р 42.4.05-2020.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8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lfae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Безопасность в чрезвычайных ситуациях. Защита населения: ГОСТ Р 22.3.03-94.</w:t>
      </w:r>
    </w:p>
  </w:footnote>
  <w:footnote w:id="3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Гражданская оборона. Инженерно-техническое оборудование защитных сооружений ГО. Общие технические требования: ГОСТ Р 42.4.05-2020.</w:t>
      </w:r>
    </w:p>
  </w:footnote>
  <w:footnote w:id="4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Гражданская оборона. Инженерно-техническое оборудование защитных сооружений ГО. Общие технические требования: ГОСТ Р 42.4.05-2020.</w:t>
      </w:r>
    </w:p>
    <w:p>
      <w:pPr>
        <w:pStyle w:val="FootnoteText"/>
        <w:jc w:val="both"/>
        <w:rPr/>
      </w:pPr>
      <w:r>
        <w:rPr/>
      </w:r>
    </w:p>
  </w:footnote>
  <w:footnote w:id="5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Гражданская оборона. Инженерно-техническое оборудование защитных сооружений ГО. Общие технические требования: ГОСТ Р 42.4.05-2020.</w:t>
      </w:r>
    </w:p>
    <w:p>
      <w:pPr>
        <w:pStyle w:val="FootnoteText"/>
        <w:rPr/>
      </w:pPr>
      <w:r>
        <w:rPr/>
      </w:r>
    </w:p>
  </w:footnote>
  <w:footnote w:id="6">
    <w:p>
      <w:pPr>
        <w:pStyle w:val="Normal"/>
        <w:widowControl/>
        <w:tabs>
          <w:tab w:val="clear" w:pos="708"/>
          <w:tab w:val="left" w:pos="993" w:leader="none"/>
          <w:tab w:val="left" w:pos="2650" w:leader="none"/>
        </w:tabs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Style w:val="Style14"/>
        </w:rPr>
        <w:footnoteRef/>
      </w:r>
      <w:r>
        <w:rPr>
          <w:sz w:val="20"/>
          <w:szCs w:val="20"/>
        </w:rPr>
        <w:t xml:space="preserve">Постановление Правительства Росийской Федерации от 26 ноября 2007 г. </w:t>
      </w:r>
      <w:r>
        <w:rPr>
          <w:sz w:val="20"/>
          <w:szCs w:val="20"/>
          <w:lang w:val="en-US"/>
        </w:rPr>
        <w:t xml:space="preserve">N </w:t>
      </w:r>
      <w:r>
        <w:rPr>
          <w:sz w:val="20"/>
          <w:szCs w:val="20"/>
        </w:rPr>
        <w:t>804 «Об утверждении Положения о гражданской обороне в Российской Федерации»</w:t>
      </w:r>
    </w:p>
  </w:footnote>
  <w:footnote w:id="7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О защите населения и территорий от чрезвычайных ситуаций природного и техногенного характера: Федеральный закон от 21.12.1994 г. </w:t>
      </w:r>
      <w:r>
        <w:rPr>
          <w:lang w:val="en-US"/>
        </w:rPr>
        <w:t>N</w:t>
      </w:r>
      <w:r>
        <w:rPr/>
        <w:t xml:space="preserve"> 68-ФЗ.</w:t>
      </w:r>
    </w:p>
  </w:footnote>
  <w:footnote w:id="8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Об утверждении требований к комплектации лекарственными препаратами и медицинскими изделиями КИМГЗ для оказания первичной медико-санитарной помощи и первой помощи: Приказ Министерства здравоохранения РФ от 28.10.2020 г. </w:t>
      </w:r>
      <w:r>
        <w:rPr>
          <w:lang w:val="en-US"/>
        </w:rPr>
        <w:t>N</w:t>
      </w:r>
      <w:r>
        <w:rPr/>
        <w:t xml:space="preserve"> 1164н (п.1, п. 2).</w:t>
      </w:r>
    </w:p>
  </w:footnote>
  <w:footnote w:id="9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Об утверждении Положения об организации обеспечения населения средствами индивидуальной защиты: Приказ МЧС России от 01.10.2014 г. </w:t>
      </w:r>
      <w:r>
        <w:rPr>
          <w:lang w:val="en-US"/>
        </w:rPr>
        <w:t>N</w:t>
      </w:r>
      <w:r>
        <w:rPr/>
        <w:t xml:space="preserve"> 543.</w:t>
      </w:r>
    </w:p>
  </w:footnote>
  <w:footnote w:id="10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Приказ МЧС России от 27.05.2003 г. </w:t>
      </w:r>
      <w:r>
        <w:rPr>
          <w:lang w:val="en-US"/>
        </w:rPr>
        <w:t>N</w:t>
      </w:r>
      <w:r>
        <w:rPr/>
        <w:t xml:space="preserve">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</w:t>
      </w:r>
    </w:p>
  </w:footnote>
  <w:footnote w:id="11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О защите населения и территорий от чрезвычайных ситуаций природного и техногенного характера: Федеральный закон от 21.12.1994 г. </w:t>
      </w:r>
      <w:r>
        <w:rPr>
          <w:lang w:val="en-US"/>
        </w:rPr>
        <w:t>N</w:t>
      </w:r>
      <w:r>
        <w:rPr/>
        <w:t xml:space="preserve"> 68-ФЗ (ст. 1).</w:t>
      </w:r>
    </w:p>
  </w:footnote>
  <w:footnote w:id="12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Об аварийно-спасательных службах и статусе спасателей: Федеральный закон от 22.08.1995 г. </w:t>
      </w:r>
      <w:r>
        <w:rPr>
          <w:lang w:val="en-US"/>
        </w:rPr>
        <w:t>N</w:t>
      </w:r>
      <w:r>
        <w:rPr/>
        <w:t xml:space="preserve"> 151-ФЗ.</w:t>
      </w:r>
    </w:p>
  </w:footnote>
  <w:footnote w:id="13">
    <w:p>
      <w:pPr>
        <w:pStyle w:val="FootnoteText"/>
        <w:jc w:val="both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 xml:space="preserve">Об аварийно-спасательных службах и статусе спасателей: Федеральный закон от 22.08.1995 г. </w:t>
      </w:r>
      <w:r>
        <w:rPr>
          <w:lang w:val="en-US"/>
        </w:rPr>
        <w:t>N</w:t>
      </w:r>
      <w:r>
        <w:rPr/>
        <w:t xml:space="preserve"> 151-ФЗ (ст. 5).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1475577"/>
    </w:sdtPr>
    <w:sdtContent>
      <w:p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2160"/>
      </w:pPr>
      <w:rPr>
        <w:b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400" w:hanging="40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/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60"/>
  <w:mirrorMargin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sz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2a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62a8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62a8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60e0c"/>
    <w:rPr>
      <w:color w:val="0000FF"/>
      <w:u w:val="single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802f32"/>
    <w:rPr>
      <w:rFonts w:eastAsia="Times New Roman" w:cs="Times New Roman"/>
      <w:sz w:val="20"/>
      <w:lang w:eastAsia="ru-RU"/>
    </w:rPr>
  </w:style>
  <w:style w:type="character" w:styleId="Style14">
    <w:name w:val="Символ сноски"/>
    <w:uiPriority w:val="99"/>
    <w:qFormat/>
    <w:rsid w:val="00802f3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1" w:customStyle="1">
    <w:name w:val="Основной текст Знак1"/>
    <w:basedOn w:val="DefaultParagraphFont"/>
    <w:uiPriority w:val="99"/>
    <w:qFormat/>
    <w:rsid w:val="00f46c39"/>
    <w:rPr>
      <w:rFonts w:ascii="Arial" w:hAnsi="Arial"/>
      <w:b/>
      <w:bCs/>
      <w:sz w:val="18"/>
      <w:szCs w:val="18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f46c39"/>
    <w:rPr>
      <w:rFonts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e42cf4"/>
    <w:rPr>
      <w:rFonts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e42cf4"/>
    <w:rPr>
      <w:rFonts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f41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5c3f41"/>
    <w:rPr>
      <w:rFonts w:eastAsia="Times New Roman" w:cs="Times New Roman"/>
      <w:sz w:val="20"/>
      <w:lang w:eastAsia="ru-RU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5c3f41"/>
    <w:rPr>
      <w:rFonts w:eastAsia="Times New Roman" w:cs="Times New Roman"/>
      <w:b/>
      <w:bCs/>
      <w:sz w:val="20"/>
      <w:lang w:eastAsia="ru-RU"/>
    </w:rPr>
  </w:style>
  <w:style w:type="character" w:styleId="Style20" w:customStyle="1">
    <w:name w:val="Текст выноски Знак"/>
    <w:basedOn w:val="DefaultParagraphFont"/>
    <w:link w:val="BalloonText"/>
    <w:uiPriority w:val="99"/>
    <w:semiHidden/>
    <w:qFormat/>
    <w:rsid w:val="005c3f41"/>
    <w:rPr>
      <w:rFonts w:ascii="Tahoma" w:hAnsi="Tahoma" w:eastAsia="Times New Roman" w:cs="Tahoma"/>
      <w:sz w:val="16"/>
      <w:szCs w:val="16"/>
      <w:lang w:eastAsia="ru-RU"/>
    </w:rPr>
  </w:style>
  <w:style w:type="character" w:styleId="Style21">
    <w:name w:val="Цветовое выделение для Текст"/>
    <w:qFormat/>
    <w:rPr/>
  </w:style>
  <w:style w:type="character" w:styleId="Style22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"/>
    <w:uiPriority w:val="99"/>
    <w:rsid w:val="00f46c39"/>
    <w:pPr>
      <w:widowControl w:val="false"/>
      <w:spacing w:lineRule="auto" w:line="276"/>
      <w:ind w:firstLine="400"/>
    </w:pPr>
    <w:rPr>
      <w:rFonts w:ascii="Arial" w:hAnsi="Arial" w:eastAsia="Calibri" w:cs="Arial" w:eastAsiaTheme="minorHAnsi"/>
      <w:b/>
      <w:bCs/>
      <w:sz w:val="18"/>
      <w:szCs w:val="18"/>
      <w:lang w:eastAsia="en-US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нак1"/>
    <w:basedOn w:val="Normal"/>
    <w:qFormat/>
    <w:rsid w:val="00762a8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IndexHeading">
    <w:name w:val="Index Heading"/>
    <w:basedOn w:val="Style23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a8f"/>
    <w:pPr>
      <w:spacing w:lineRule="auto" w:line="276"/>
      <w:outlineLvl w:val="9"/>
    </w:pPr>
    <w:rPr/>
  </w:style>
  <w:style w:type="paragraph" w:styleId="ListParagraph">
    <w:name w:val="List Paragraph"/>
    <w:basedOn w:val="Normal"/>
    <w:uiPriority w:val="34"/>
    <w:qFormat/>
    <w:rsid w:val="00644cd0"/>
    <w:pPr>
      <w:spacing w:before="0" w:after="0"/>
      <w:ind w:left="720"/>
      <w:contextualSpacing/>
    </w:pPr>
    <w:rPr/>
  </w:style>
  <w:style w:type="paragraph" w:styleId="Formattext" w:customStyle="1">
    <w:name w:val="formattext"/>
    <w:basedOn w:val="Normal"/>
    <w:qFormat/>
    <w:rsid w:val="00533369"/>
    <w:pPr>
      <w:spacing w:beforeAutospacing="1" w:afterAutospacing="1"/>
    </w:pPr>
    <w:rPr/>
  </w:style>
  <w:style w:type="paragraph" w:styleId="FootnoteText">
    <w:name w:val="Footnote Text"/>
    <w:basedOn w:val="Normal"/>
    <w:link w:val="Style13"/>
    <w:uiPriority w:val="99"/>
    <w:semiHidden/>
    <w:unhideWhenUsed/>
    <w:rsid w:val="00802f32"/>
    <w:pPr/>
    <w:rPr>
      <w:sz w:val="20"/>
      <w:szCs w:val="20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e42cf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unhideWhenUsed/>
    <w:rsid w:val="00e42cf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5c3f4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5c3f41"/>
    <w:pPr/>
    <w:rPr>
      <w:b/>
      <w:bCs/>
    </w:rPr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5c3f41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ru-RU" w:eastAsia="en-US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f04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E2C4-9CDB-46BA-B81F-FB2F7EA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Application>LibreOffice/7.6.7.2$Linux_X86_64 LibreOffice_project/60$Build-2</Application>
  <AppVersion>15.0000</AppVersion>
  <Pages>35</Pages>
  <Words>8101</Words>
  <Characters>60031</Characters>
  <CharactersWithSpaces>67767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2021-09-26T12:22:00Z</dcterms:created>
  <dc:creator>Пользователь Windows</dc:creator>
  <dc:description/>
  <dc:language>ru-RU</dc:language>
  <cp:lastModifiedBy/>
  <cp:lastPrinted>2025-03-14T14:23:27Z</cp:lastPrinted>
  <dcterms:modified xsi:type="dcterms:W3CDTF">2025-03-24T13:20:03Z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